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574" w:type="dxa"/>
        <w:tblInd w:w="-709" w:type="dxa"/>
        <w:tblLayout w:type="fixed"/>
        <w:tblLook w:val="0400" w:firstRow="0" w:lastRow="0" w:firstColumn="0" w:lastColumn="0" w:noHBand="0" w:noVBand="1"/>
      </w:tblPr>
      <w:tblGrid>
        <w:gridCol w:w="5245"/>
        <w:gridCol w:w="5329"/>
      </w:tblGrid>
      <w:tr w:rsidR="00F50420" w:rsidRPr="00DA5C88" w14:paraId="53E577B6" w14:textId="77777777" w:rsidTr="000B7100">
        <w:trPr>
          <w:trHeight w:val="2826"/>
        </w:trPr>
        <w:tc>
          <w:tcPr>
            <w:tcW w:w="5245" w:type="dxa"/>
          </w:tcPr>
          <w:p w14:paraId="3AA51BB6" w14:textId="77777777" w:rsidR="00F50420" w:rsidRPr="00DA5C88" w:rsidRDefault="00593BB1" w:rsidP="005806DB">
            <w:pPr>
              <w:spacing w:after="80" w:line="240" w:lineRule="auto"/>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HỘI ĐỒNG TƯ VẤN CẢI CÁCH TTHC</w:t>
            </w:r>
          </w:p>
          <w:p w14:paraId="6B24D926" w14:textId="45E5AD75" w:rsidR="00F50420" w:rsidRPr="00DA5C88" w:rsidRDefault="00593BB1" w:rsidP="005806DB">
            <w:pPr>
              <w:spacing w:after="80" w:line="240" w:lineRule="auto"/>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BAN NGHIÊN CỨU PHÁT TRIỂN KTTN</w:t>
            </w:r>
          </w:p>
          <w:p w14:paraId="7FAB844E" w14:textId="4A12503C" w:rsidR="00F50420" w:rsidRPr="00DA5C88" w:rsidRDefault="00D24936" w:rsidP="005806DB">
            <w:pPr>
              <w:spacing w:after="80"/>
              <w:jc w:val="both"/>
              <w:rPr>
                <w:rFonts w:ascii="Times New Roman" w:eastAsia="Times New Roman" w:hAnsi="Times New Roman" w:cs="Times New Roman"/>
                <w:b/>
                <w:sz w:val="26"/>
                <w:szCs w:val="26"/>
                <w:lang w:val="vi-VN"/>
              </w:rPr>
            </w:pPr>
            <w:r w:rsidRPr="00DA5C88">
              <w:rPr>
                <w:rFonts w:ascii="Times New Roman" w:eastAsia="Times New Roman" w:hAnsi="Times New Roman" w:cs="Times New Roman"/>
                <w:b/>
                <w:noProof/>
                <w:sz w:val="26"/>
                <w:szCs w:val="26"/>
                <w:lang w:val="vi-VN"/>
              </w:rPr>
              <mc:AlternateContent>
                <mc:Choice Requires="wps">
                  <w:drawing>
                    <wp:anchor distT="0" distB="0" distL="114300" distR="114300" simplePos="0" relativeHeight="251659264" behindDoc="0" locked="0" layoutInCell="1" allowOverlap="1" wp14:anchorId="3B9CE3E4" wp14:editId="0FCE96F8">
                      <wp:simplePos x="0" y="0"/>
                      <wp:positionH relativeFrom="column">
                        <wp:posOffset>371475</wp:posOffset>
                      </wp:positionH>
                      <wp:positionV relativeFrom="paragraph">
                        <wp:posOffset>2540</wp:posOffset>
                      </wp:positionV>
                      <wp:extent cx="2667000" cy="0"/>
                      <wp:effectExtent l="0" t="0" r="0" b="0"/>
                      <wp:wrapNone/>
                      <wp:docPr id="1300160712" name="Straight Connector 3"/>
                      <wp:cNvGraphicFramePr/>
                      <a:graphic xmlns:a="http://schemas.openxmlformats.org/drawingml/2006/main">
                        <a:graphicData uri="http://schemas.microsoft.com/office/word/2010/wordprocessingShape">
                          <wps:wsp>
                            <wps:cNvCnPr/>
                            <wps:spPr>
                              <a:xfrm>
                                <a:off x="0" y="0"/>
                                <a:ext cx="2667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2AFA1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25pt,.2pt" to="239.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" strokecolor="black [3040]"/>
                  </w:pict>
                </mc:Fallback>
              </mc:AlternateContent>
            </w:r>
          </w:p>
          <w:p w14:paraId="71FFAE20" w14:textId="25C10656" w:rsidR="00F50420" w:rsidRPr="00DA5C88" w:rsidRDefault="00593BB1" w:rsidP="005806DB">
            <w:pPr>
              <w:spacing w:after="80"/>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 xml:space="preserve">Số: </w:t>
            </w:r>
            <w:r w:rsidR="004C5D84">
              <w:rPr>
                <w:rFonts w:ascii="Times New Roman" w:eastAsia="Times New Roman" w:hAnsi="Times New Roman" w:cs="Times New Roman"/>
                <w:sz w:val="26"/>
                <w:szCs w:val="26"/>
                <w:lang w:val="en-US"/>
              </w:rPr>
              <w:t>32</w:t>
            </w:r>
            <w:r w:rsidRPr="00DA5C88">
              <w:rPr>
                <w:rFonts w:ascii="Times New Roman" w:eastAsia="Times New Roman" w:hAnsi="Times New Roman" w:cs="Times New Roman"/>
                <w:sz w:val="26"/>
                <w:szCs w:val="26"/>
                <w:lang w:val="vi-VN"/>
              </w:rPr>
              <w:t>/Ban IV</w:t>
            </w:r>
          </w:p>
          <w:p w14:paraId="78C80353" w14:textId="4B19B5F9" w:rsidR="00F50420" w:rsidRPr="00DA5C88" w:rsidRDefault="00593BB1" w:rsidP="005806DB">
            <w:pPr>
              <w:spacing w:after="80"/>
              <w:jc w:val="center"/>
              <w:rPr>
                <w:rFonts w:ascii="Times New Roman" w:eastAsia="Times New Roman" w:hAnsi="Times New Roman" w:cs="Times New Roman"/>
                <w:b/>
                <w:i/>
                <w:sz w:val="26"/>
                <w:szCs w:val="26"/>
                <w:lang w:val="vi-VN"/>
              </w:rPr>
            </w:pPr>
            <w:r w:rsidRPr="00DA5C88">
              <w:rPr>
                <w:rFonts w:ascii="Times New Roman" w:eastAsia="Times New Roman" w:hAnsi="Times New Roman" w:cs="Times New Roman"/>
                <w:i/>
                <w:sz w:val="26"/>
                <w:szCs w:val="26"/>
                <w:lang w:val="vi-VN"/>
              </w:rPr>
              <w:t xml:space="preserve">V/v: </w:t>
            </w:r>
            <w:r w:rsidR="00BC10F1">
              <w:rPr>
                <w:rFonts w:ascii="Times New Roman" w:eastAsia="Times New Roman" w:hAnsi="Times New Roman" w:cs="Times New Roman"/>
                <w:i/>
                <w:sz w:val="26"/>
                <w:szCs w:val="26"/>
                <w:lang w:val="en-US"/>
              </w:rPr>
              <w:t>Các khó khăn, vướng mắc</w:t>
            </w:r>
            <w:r w:rsidR="0097779D" w:rsidRPr="00DA5C88">
              <w:rPr>
                <w:rFonts w:ascii="Times New Roman" w:eastAsia="Times New Roman" w:hAnsi="Times New Roman" w:cs="Times New Roman"/>
                <w:i/>
                <w:sz w:val="26"/>
                <w:szCs w:val="26"/>
                <w:lang w:val="vi-VN"/>
              </w:rPr>
              <w:t xml:space="preserve"> trong hoạt động logistic</w:t>
            </w:r>
            <w:r w:rsidR="000B7100" w:rsidRPr="00DA5C88">
              <w:rPr>
                <w:rFonts w:ascii="Times New Roman" w:eastAsia="Times New Roman" w:hAnsi="Times New Roman" w:cs="Times New Roman"/>
                <w:i/>
                <w:sz w:val="26"/>
                <w:szCs w:val="26"/>
                <w:lang w:val="vi-VN"/>
              </w:rPr>
              <w:t>s</w:t>
            </w:r>
            <w:r w:rsidR="0097779D" w:rsidRPr="00DA5C88">
              <w:rPr>
                <w:rFonts w:ascii="Times New Roman" w:eastAsia="Times New Roman" w:hAnsi="Times New Roman" w:cs="Times New Roman"/>
                <w:i/>
                <w:sz w:val="26"/>
                <w:szCs w:val="26"/>
                <w:lang w:val="vi-VN"/>
              </w:rPr>
              <w:t xml:space="preserve"> </w:t>
            </w:r>
            <w:r w:rsidR="00BC10F1">
              <w:rPr>
                <w:rFonts w:ascii="Times New Roman" w:eastAsia="Times New Roman" w:hAnsi="Times New Roman" w:cs="Times New Roman"/>
                <w:i/>
                <w:sz w:val="26"/>
                <w:szCs w:val="26"/>
                <w:lang w:val="en-US"/>
              </w:rPr>
              <w:t>-</w:t>
            </w:r>
            <w:r w:rsidR="0097779D" w:rsidRPr="00DA5C88">
              <w:rPr>
                <w:rFonts w:ascii="Times New Roman" w:eastAsia="Times New Roman" w:hAnsi="Times New Roman" w:cs="Times New Roman"/>
                <w:i/>
                <w:sz w:val="26"/>
                <w:szCs w:val="26"/>
                <w:lang w:val="vi-VN"/>
              </w:rPr>
              <w:t xml:space="preserve"> xuất nhập khẩu và Phản ánh nhanh hiện trạng</w:t>
            </w:r>
            <w:r w:rsidR="00D24936" w:rsidRPr="00DA5C88">
              <w:rPr>
                <w:rFonts w:ascii="Times New Roman" w:eastAsia="Times New Roman" w:hAnsi="Times New Roman" w:cs="Times New Roman"/>
                <w:i/>
                <w:sz w:val="26"/>
                <w:szCs w:val="26"/>
                <w:lang w:val="vi-VN"/>
              </w:rPr>
              <w:t xml:space="preserve"> </w:t>
            </w:r>
            <w:r w:rsidR="0097779D" w:rsidRPr="00DA5C88">
              <w:rPr>
                <w:rFonts w:ascii="Times New Roman" w:eastAsia="Times New Roman" w:hAnsi="Times New Roman" w:cs="Times New Roman"/>
                <w:i/>
                <w:sz w:val="26"/>
                <w:szCs w:val="26"/>
                <w:lang w:val="vi-VN"/>
              </w:rPr>
              <w:t>thực thi Nghị quyết 68-NQ/TW</w:t>
            </w:r>
          </w:p>
        </w:tc>
        <w:tc>
          <w:tcPr>
            <w:tcW w:w="5329" w:type="dxa"/>
          </w:tcPr>
          <w:p w14:paraId="2C34712D" w14:textId="77777777" w:rsidR="00F50420" w:rsidRPr="00DA5C88" w:rsidRDefault="00593BB1" w:rsidP="005806DB">
            <w:pPr>
              <w:spacing w:after="80" w:line="240" w:lineRule="auto"/>
              <w:jc w:val="center"/>
              <w:rPr>
                <w:rFonts w:ascii="Times New Roman" w:eastAsia="Times New Roman" w:hAnsi="Times New Roman" w:cs="Times New Roman"/>
                <w:b/>
                <w:sz w:val="24"/>
                <w:szCs w:val="24"/>
                <w:lang w:val="vi-VN"/>
              </w:rPr>
            </w:pPr>
            <w:r w:rsidRPr="00DA5C88">
              <w:rPr>
                <w:rFonts w:ascii="Times New Roman" w:eastAsia="Times New Roman" w:hAnsi="Times New Roman" w:cs="Times New Roman"/>
                <w:b/>
                <w:sz w:val="24"/>
                <w:szCs w:val="24"/>
                <w:lang w:val="vi-VN"/>
              </w:rPr>
              <w:t>CỘNG HÒA XÃ HỘI CHỦ NGHĨA VIỆT NAM</w:t>
            </w:r>
          </w:p>
          <w:p w14:paraId="72E6A615" w14:textId="173C343A" w:rsidR="00F50420" w:rsidRPr="00DA5C88" w:rsidRDefault="00593BB1" w:rsidP="005806DB">
            <w:pPr>
              <w:spacing w:after="80" w:line="240" w:lineRule="auto"/>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Độc lập - Tự do - Hạnh phúc</w:t>
            </w:r>
          </w:p>
          <w:p w14:paraId="157E728F" w14:textId="3B9DDA99" w:rsidR="00F50420" w:rsidRPr="00DA5C88" w:rsidRDefault="00D24936" w:rsidP="005806DB">
            <w:pPr>
              <w:spacing w:after="80"/>
              <w:jc w:val="both"/>
              <w:rPr>
                <w:rFonts w:ascii="Times New Roman" w:eastAsia="Times New Roman" w:hAnsi="Times New Roman" w:cs="Times New Roman"/>
                <w:b/>
                <w:sz w:val="26"/>
                <w:szCs w:val="26"/>
                <w:lang w:val="vi-VN"/>
              </w:rPr>
            </w:pPr>
            <w:r w:rsidRPr="00DA5C88">
              <w:rPr>
                <w:rFonts w:ascii="Times New Roman" w:eastAsia="Times New Roman" w:hAnsi="Times New Roman" w:cs="Times New Roman"/>
                <w:b/>
                <w:noProof/>
                <w:sz w:val="26"/>
                <w:szCs w:val="26"/>
                <w:lang w:val="vi-VN"/>
              </w:rPr>
              <mc:AlternateContent>
                <mc:Choice Requires="wps">
                  <w:drawing>
                    <wp:anchor distT="0" distB="0" distL="114300" distR="114300" simplePos="0" relativeHeight="251660288" behindDoc="0" locked="0" layoutInCell="1" allowOverlap="1" wp14:anchorId="31D7FC7F" wp14:editId="376148CE">
                      <wp:simplePos x="0" y="0"/>
                      <wp:positionH relativeFrom="column">
                        <wp:posOffset>698500</wp:posOffset>
                      </wp:positionH>
                      <wp:positionV relativeFrom="paragraph">
                        <wp:posOffset>17145</wp:posOffset>
                      </wp:positionV>
                      <wp:extent cx="1958340" cy="0"/>
                      <wp:effectExtent l="0" t="0" r="0" b="0"/>
                      <wp:wrapNone/>
                      <wp:docPr id="790787300" name="Straight Connector 4"/>
                      <wp:cNvGraphicFramePr/>
                      <a:graphic xmlns:a="http://schemas.openxmlformats.org/drawingml/2006/main">
                        <a:graphicData uri="http://schemas.microsoft.com/office/word/2010/wordprocessingShape">
                          <wps:wsp>
                            <wps:cNvCnPr/>
                            <wps:spPr>
                              <a:xfrm>
                                <a:off x="0" y="0"/>
                                <a:ext cx="195834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88BD527"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pt,1.35pt" to="209.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" strokecolor="black [3213]"/>
                  </w:pict>
                </mc:Fallback>
              </mc:AlternateContent>
            </w:r>
          </w:p>
          <w:p w14:paraId="2EFDA667" w14:textId="77777777" w:rsidR="00F50420" w:rsidRPr="00DA5C88" w:rsidRDefault="00593BB1" w:rsidP="005806DB">
            <w:pPr>
              <w:spacing w:after="80"/>
              <w:ind w:right="-610"/>
              <w:jc w:val="center"/>
              <w:rPr>
                <w:rFonts w:ascii="Times New Roman" w:eastAsia="Times New Roman" w:hAnsi="Times New Roman" w:cs="Times New Roman"/>
                <w:i/>
                <w:sz w:val="26"/>
                <w:szCs w:val="26"/>
                <w:lang w:val="vi-VN"/>
              </w:rPr>
            </w:pPr>
            <w:r w:rsidRPr="00DA5C88">
              <w:rPr>
                <w:rFonts w:ascii="Times New Roman" w:eastAsia="Times New Roman" w:hAnsi="Times New Roman" w:cs="Times New Roman"/>
                <w:i/>
                <w:sz w:val="26"/>
                <w:szCs w:val="26"/>
                <w:lang w:val="vi-VN"/>
              </w:rPr>
              <w:t>Hà Nội, ngày 25 tháng 10 năm 2025</w:t>
            </w:r>
          </w:p>
        </w:tc>
      </w:tr>
    </w:tbl>
    <w:p w14:paraId="47D5E8FF" w14:textId="77777777" w:rsidR="000B7100" w:rsidRPr="00DA5C88" w:rsidRDefault="000B7100" w:rsidP="000B7100">
      <w:pPr>
        <w:ind w:firstLine="567"/>
        <w:jc w:val="both"/>
        <w:rPr>
          <w:rStyle w:val="fontstyle01"/>
          <w:rFonts w:ascii="Times New Roman" w:hAnsi="Times New Roman" w:cs="Times New Roman"/>
          <w:lang w:val="vi-VN"/>
        </w:rPr>
      </w:pPr>
      <w:bookmarkStart w:id="0" w:name="_aojl8585qkxc" w:colFirst="0" w:colLast="0"/>
      <w:bookmarkEnd w:id="0"/>
    </w:p>
    <w:p w14:paraId="2F878F72" w14:textId="6423ADF8" w:rsidR="000B7100" w:rsidRPr="00DA5C88" w:rsidRDefault="000B7100" w:rsidP="000B7100">
      <w:pPr>
        <w:ind w:firstLine="567"/>
        <w:jc w:val="center"/>
        <w:rPr>
          <w:rStyle w:val="fontstyle01"/>
          <w:rFonts w:ascii="Times New Roman" w:hAnsi="Times New Roman" w:cs="Times New Roman"/>
          <w:b/>
          <w:bCs/>
          <w:lang w:val="vi-VN"/>
        </w:rPr>
      </w:pPr>
      <w:r w:rsidRPr="00DA5C88">
        <w:rPr>
          <w:rStyle w:val="fontstyle01"/>
          <w:rFonts w:ascii="Times New Roman" w:hAnsi="Times New Roman" w:cs="Times New Roman"/>
          <w:lang w:val="vi-VN"/>
        </w:rPr>
        <w:t xml:space="preserve">Kính gửi: </w:t>
      </w:r>
      <w:r w:rsidRPr="00DA5C88">
        <w:rPr>
          <w:rStyle w:val="fontstyle01"/>
          <w:rFonts w:ascii="Times New Roman" w:hAnsi="Times New Roman" w:cs="Times New Roman"/>
          <w:b/>
          <w:bCs/>
          <w:lang w:val="vi-VN"/>
        </w:rPr>
        <w:t>Thủ tướng Chính phủ Phạm Minh Chính</w:t>
      </w:r>
    </w:p>
    <w:p w14:paraId="147B15DE" w14:textId="77777777" w:rsidR="000B7100" w:rsidRPr="00DA5C88" w:rsidRDefault="000B7100" w:rsidP="000B7100">
      <w:pPr>
        <w:ind w:firstLine="567"/>
        <w:jc w:val="center"/>
        <w:rPr>
          <w:rStyle w:val="fontstyle01"/>
          <w:rFonts w:ascii="Times New Roman" w:hAnsi="Times New Roman" w:cs="Times New Roman"/>
          <w:lang w:val="vi-VN"/>
        </w:rPr>
      </w:pPr>
    </w:p>
    <w:p w14:paraId="5836A45F" w14:textId="697FD5EB" w:rsidR="0097779D" w:rsidRPr="00763569" w:rsidRDefault="0097779D" w:rsidP="00890D38">
      <w:pPr>
        <w:spacing w:line="360" w:lineRule="auto"/>
        <w:ind w:firstLine="709"/>
        <w:jc w:val="both"/>
        <w:rPr>
          <w:rFonts w:ascii="Times New Roman" w:hAnsi="Times New Roman" w:cs="Times New Roman"/>
          <w:sz w:val="26"/>
          <w:szCs w:val="26"/>
          <w:lang w:val="en-US"/>
        </w:rPr>
      </w:pPr>
      <w:r w:rsidRPr="00DA5C88">
        <w:rPr>
          <w:rStyle w:val="fontstyle01"/>
          <w:rFonts w:ascii="Times New Roman" w:hAnsi="Times New Roman" w:cs="Times New Roman"/>
          <w:lang w:val="vi-VN"/>
        </w:rPr>
        <w:t>Thực hiện nhiệm vụ Thủ tướng Chính phủ giao Ban Nghiên cứu Phát triển Kinh</w:t>
      </w:r>
      <w:r w:rsidRPr="00DA5C88">
        <w:rPr>
          <w:rFonts w:ascii="Times New Roman" w:hAnsi="Times New Roman" w:cs="Times New Roman"/>
          <w:color w:val="000000"/>
          <w:sz w:val="26"/>
          <w:szCs w:val="26"/>
          <w:lang w:val="vi-VN"/>
        </w:rPr>
        <w:br/>
      </w:r>
      <w:r w:rsidRPr="00DA5C88">
        <w:rPr>
          <w:rStyle w:val="fontstyle01"/>
          <w:rFonts w:ascii="Times New Roman" w:hAnsi="Times New Roman" w:cs="Times New Roman"/>
          <w:lang w:val="vi-VN"/>
        </w:rPr>
        <w:t>tế tư nhân (Ban IV</w:t>
      </w:r>
      <w:r w:rsidR="00405DD0" w:rsidRPr="00DA5C88">
        <w:rPr>
          <w:rStyle w:val="fontstyle01"/>
          <w:rFonts w:ascii="Times New Roman" w:hAnsi="Times New Roman" w:cs="Times New Roman"/>
          <w:lang w:val="vi-VN"/>
        </w:rPr>
        <w:t>,</w:t>
      </w:r>
      <w:r w:rsidRPr="00DA5C88">
        <w:rPr>
          <w:rStyle w:val="fontstyle01"/>
          <w:rFonts w:ascii="Times New Roman" w:hAnsi="Times New Roman" w:cs="Times New Roman"/>
          <w:lang w:val="vi-VN"/>
        </w:rPr>
        <w:t xml:space="preserve"> thuộc Hội đồng tư vấn cải cách TTHC của Thủ tướng Chính phủ) tại</w:t>
      </w:r>
      <w:r w:rsidRPr="00DA5C88">
        <w:rPr>
          <w:rFonts w:ascii="Times New Roman" w:hAnsi="Times New Roman" w:cs="Times New Roman"/>
          <w:color w:val="000000"/>
          <w:sz w:val="26"/>
          <w:szCs w:val="26"/>
          <w:lang w:val="vi-VN"/>
        </w:rPr>
        <w:t xml:space="preserve"> </w:t>
      </w:r>
      <w:r w:rsidRPr="00DA5C88">
        <w:rPr>
          <w:rStyle w:val="fontstyle01"/>
          <w:rFonts w:ascii="Times New Roman" w:hAnsi="Times New Roman" w:cs="Times New Roman"/>
          <w:lang w:val="vi-VN"/>
        </w:rPr>
        <w:t xml:space="preserve">Thông báo số 421/TB </w:t>
      </w:r>
      <w:r w:rsidR="00763569">
        <w:rPr>
          <w:rStyle w:val="fontstyle01"/>
          <w:rFonts w:ascii="Times New Roman" w:hAnsi="Times New Roman" w:cs="Times New Roman"/>
          <w:lang w:val="en-US"/>
        </w:rPr>
        <w:t>-</w:t>
      </w:r>
      <w:r w:rsidRPr="00DA5C88">
        <w:rPr>
          <w:rStyle w:val="fontstyle01"/>
          <w:rFonts w:ascii="Times New Roman" w:hAnsi="Times New Roman" w:cs="Times New Roman"/>
          <w:lang w:val="vi-VN"/>
        </w:rPr>
        <w:t xml:space="preserve"> VPCP ngày 13/08/2025 về việc báo cáo định kỳ trước ngày 25</w:t>
      </w:r>
      <w:r w:rsidRPr="00DA5C88">
        <w:rPr>
          <w:rFonts w:ascii="Times New Roman" w:hAnsi="Times New Roman" w:cs="Times New Roman"/>
          <w:color w:val="000000"/>
          <w:sz w:val="26"/>
          <w:szCs w:val="26"/>
          <w:lang w:val="vi-VN"/>
        </w:rPr>
        <w:t xml:space="preserve"> </w:t>
      </w:r>
      <w:r w:rsidRPr="00DA5C88">
        <w:rPr>
          <w:rStyle w:val="fontstyle01"/>
          <w:rFonts w:ascii="Times New Roman" w:hAnsi="Times New Roman" w:cs="Times New Roman"/>
          <w:lang w:val="vi-VN"/>
        </w:rPr>
        <w:t>hàng tháng về tình hình doanh nghiệp, các khó khăn của doanh nghiệp,</w:t>
      </w:r>
      <w:r w:rsidRPr="00DA5C88">
        <w:rPr>
          <w:rFonts w:ascii="Times New Roman" w:hAnsi="Times New Roman" w:cs="Times New Roman"/>
          <w:color w:val="000000"/>
          <w:sz w:val="26"/>
          <w:szCs w:val="26"/>
          <w:lang w:val="vi-VN"/>
        </w:rPr>
        <w:br/>
      </w:r>
      <w:r w:rsidRPr="00DA5C88">
        <w:rPr>
          <w:rStyle w:val="fontstyle01"/>
          <w:rFonts w:ascii="Times New Roman" w:hAnsi="Times New Roman" w:cs="Times New Roman"/>
          <w:lang w:val="vi-VN"/>
        </w:rPr>
        <w:t>trên cơ sở kết quả nghiên cứu và tổng hợp ý kiến doanh nghiệp, hiệp hội, Ban IV xin</w:t>
      </w:r>
      <w:r w:rsidRPr="00DA5C88">
        <w:rPr>
          <w:rFonts w:ascii="Times New Roman" w:hAnsi="Times New Roman" w:cs="Times New Roman"/>
          <w:color w:val="000000"/>
          <w:sz w:val="26"/>
          <w:szCs w:val="26"/>
          <w:lang w:val="vi-VN"/>
        </w:rPr>
        <w:br/>
      </w:r>
      <w:r w:rsidRPr="00DA5C88">
        <w:rPr>
          <w:rStyle w:val="fontstyle01"/>
          <w:rFonts w:ascii="Times New Roman" w:hAnsi="Times New Roman" w:cs="Times New Roman"/>
          <w:lang w:val="vi-VN"/>
        </w:rPr>
        <w:t xml:space="preserve">báo cáo Thủ tướng một số nội dung </w:t>
      </w:r>
      <w:r w:rsidR="008A2534" w:rsidRPr="00DA5C88">
        <w:rPr>
          <w:rStyle w:val="fontstyle01"/>
          <w:rFonts w:ascii="Times New Roman" w:hAnsi="Times New Roman" w:cs="Times New Roman"/>
          <w:lang w:val="vi-VN"/>
        </w:rPr>
        <w:t>về rào cản</w:t>
      </w:r>
      <w:r w:rsidR="00EC7260" w:rsidRPr="00DA5C88">
        <w:rPr>
          <w:rStyle w:val="fontstyle01"/>
          <w:rFonts w:ascii="Times New Roman" w:hAnsi="Times New Roman" w:cs="Times New Roman"/>
          <w:lang w:val="vi-VN"/>
        </w:rPr>
        <w:t>, thách thức</w:t>
      </w:r>
      <w:r w:rsidR="008A2534" w:rsidRPr="00DA5C88">
        <w:rPr>
          <w:rStyle w:val="fontstyle01"/>
          <w:rFonts w:ascii="Times New Roman" w:hAnsi="Times New Roman" w:cs="Times New Roman"/>
          <w:lang w:val="vi-VN"/>
        </w:rPr>
        <w:t xml:space="preserve"> trong hoạt động logistic</w:t>
      </w:r>
      <w:r w:rsidR="00017498" w:rsidRPr="00DA5C88">
        <w:rPr>
          <w:rStyle w:val="fontstyle01"/>
          <w:rFonts w:ascii="Times New Roman" w:hAnsi="Times New Roman" w:cs="Times New Roman"/>
          <w:lang w:val="vi-VN"/>
        </w:rPr>
        <w:t>s</w:t>
      </w:r>
      <w:r w:rsidR="008A2534" w:rsidRPr="00DA5C88">
        <w:rPr>
          <w:rStyle w:val="fontstyle01"/>
          <w:rFonts w:ascii="Times New Roman" w:hAnsi="Times New Roman" w:cs="Times New Roman"/>
          <w:lang w:val="vi-VN"/>
        </w:rPr>
        <w:t xml:space="preserve"> </w:t>
      </w:r>
      <w:r w:rsidR="00763569">
        <w:rPr>
          <w:rStyle w:val="fontstyle01"/>
          <w:rFonts w:ascii="Times New Roman" w:hAnsi="Times New Roman" w:cs="Times New Roman"/>
          <w:lang w:val="en-US"/>
        </w:rPr>
        <w:t>-</w:t>
      </w:r>
      <w:r w:rsidR="008A2534" w:rsidRPr="00DA5C88">
        <w:rPr>
          <w:rStyle w:val="fontstyle01"/>
          <w:rFonts w:ascii="Times New Roman" w:hAnsi="Times New Roman" w:cs="Times New Roman"/>
          <w:lang w:val="vi-VN"/>
        </w:rPr>
        <w:t>xuất nhập khẩu và phản ánh nhanh hiện trạng thực thi Nghị quyết 68-NQ/TW qua góc nhìn của  các Hiệp hội và doanh nghiệp</w:t>
      </w:r>
      <w:r w:rsidR="00763569">
        <w:rPr>
          <w:rStyle w:val="fontstyle01"/>
          <w:rFonts w:ascii="Times New Roman" w:hAnsi="Times New Roman" w:cs="Times New Roman"/>
          <w:lang w:val="en-US"/>
        </w:rPr>
        <w:t xml:space="preserve"> như sau:</w:t>
      </w:r>
    </w:p>
    <w:p w14:paraId="2E7653D6" w14:textId="4D676F2F" w:rsidR="00F50420" w:rsidRPr="00DA5C88" w:rsidRDefault="0097779D" w:rsidP="00890D38">
      <w:pPr>
        <w:spacing w:line="360" w:lineRule="auto"/>
        <w:ind w:firstLine="709"/>
        <w:jc w:val="both"/>
        <w:rPr>
          <w:rFonts w:ascii="Times New Roman" w:eastAsia="Times New Roman" w:hAnsi="Times New Roman" w:cs="Times New Roman"/>
          <w:b/>
          <w:color w:val="000000"/>
          <w:sz w:val="26"/>
          <w:szCs w:val="26"/>
          <w:lang w:val="vi-VN"/>
        </w:rPr>
      </w:pPr>
      <w:r w:rsidRPr="00DA5C88">
        <w:rPr>
          <w:rFonts w:ascii="Times New Roman" w:eastAsia="Times New Roman" w:hAnsi="Times New Roman" w:cs="Times New Roman"/>
          <w:b/>
          <w:color w:val="000000"/>
          <w:sz w:val="26"/>
          <w:szCs w:val="26"/>
          <w:lang w:val="vi-VN"/>
        </w:rPr>
        <w:t xml:space="preserve">1. </w:t>
      </w:r>
      <w:r w:rsidR="00763569">
        <w:rPr>
          <w:rFonts w:ascii="Times New Roman" w:eastAsia="Times New Roman" w:hAnsi="Times New Roman" w:cs="Times New Roman"/>
          <w:b/>
          <w:color w:val="000000"/>
          <w:sz w:val="26"/>
          <w:szCs w:val="26"/>
          <w:lang w:val="en-US"/>
        </w:rPr>
        <w:t>Phản ánh của doanh nghiệp, hiệp hội về một số r</w:t>
      </w:r>
      <w:r w:rsidRPr="00DA5C88">
        <w:rPr>
          <w:rFonts w:ascii="Times New Roman" w:eastAsia="Times New Roman" w:hAnsi="Times New Roman" w:cs="Times New Roman"/>
          <w:b/>
          <w:color w:val="000000"/>
          <w:sz w:val="26"/>
          <w:szCs w:val="26"/>
          <w:lang w:val="vi-VN"/>
        </w:rPr>
        <w:t xml:space="preserve">ào cản, khó khăn trong hoạt động logistics và </w:t>
      </w:r>
      <w:r w:rsidR="008A2534" w:rsidRPr="00DA5C88">
        <w:rPr>
          <w:rFonts w:ascii="Times New Roman" w:eastAsia="Times New Roman" w:hAnsi="Times New Roman" w:cs="Times New Roman"/>
          <w:b/>
          <w:color w:val="000000"/>
          <w:sz w:val="26"/>
          <w:szCs w:val="26"/>
          <w:lang w:val="vi-VN"/>
        </w:rPr>
        <w:t>xuất nhập khẩu</w:t>
      </w:r>
    </w:p>
    <w:p w14:paraId="005FB743" w14:textId="5FD1D5BE" w:rsidR="00762300" w:rsidRPr="00DA5C88" w:rsidRDefault="008A2534" w:rsidP="00890D38">
      <w:pPr>
        <w:spacing w:line="360" w:lineRule="auto"/>
        <w:ind w:firstLine="709"/>
        <w:jc w:val="both"/>
        <w:rPr>
          <w:rFonts w:ascii="Times New Roman" w:hAnsi="Times New Roman" w:cs="Times New Roman"/>
          <w:color w:val="000000" w:themeColor="text1"/>
          <w:sz w:val="26"/>
          <w:szCs w:val="26"/>
          <w:lang w:val="vi-VN"/>
        </w:rPr>
      </w:pPr>
      <w:r w:rsidRPr="00DA5C88">
        <w:rPr>
          <w:rFonts w:ascii="Times New Roman" w:hAnsi="Times New Roman" w:cs="Times New Roman"/>
          <w:b/>
          <w:bCs/>
          <w:i/>
          <w:iCs/>
          <w:sz w:val="26"/>
          <w:szCs w:val="26"/>
          <w:lang w:val="vi-VN"/>
        </w:rPr>
        <w:t xml:space="preserve">Thứ nhất, </w:t>
      </w:r>
      <w:r w:rsidR="00EC7260" w:rsidRPr="00DA5C88">
        <w:rPr>
          <w:rFonts w:ascii="Times New Roman" w:hAnsi="Times New Roman" w:cs="Times New Roman"/>
          <w:b/>
          <w:bCs/>
          <w:i/>
          <w:iCs/>
          <w:sz w:val="26"/>
          <w:szCs w:val="26"/>
          <w:lang w:val="vi-VN"/>
        </w:rPr>
        <w:t xml:space="preserve">theo </w:t>
      </w:r>
      <w:r w:rsidRPr="00DA5C88">
        <w:rPr>
          <w:rFonts w:ascii="Times New Roman" w:hAnsi="Times New Roman" w:cs="Times New Roman"/>
          <w:b/>
          <w:bCs/>
          <w:i/>
          <w:iCs/>
          <w:sz w:val="26"/>
          <w:szCs w:val="26"/>
          <w:lang w:val="vi-VN"/>
        </w:rPr>
        <w:t>phản ánh từ cộng đồng doanh nghiệp</w:t>
      </w:r>
      <w:r w:rsidR="00762300" w:rsidRPr="00DA5C88">
        <w:rPr>
          <w:rFonts w:ascii="Times New Roman" w:hAnsi="Times New Roman" w:cs="Times New Roman"/>
          <w:b/>
          <w:bCs/>
          <w:i/>
          <w:iCs/>
          <w:sz w:val="26"/>
          <w:szCs w:val="26"/>
          <w:lang w:val="vi-VN"/>
        </w:rPr>
        <w:t>, hoạt động logistic</w:t>
      </w:r>
      <w:r w:rsidR="000B7100" w:rsidRPr="00DA5C88">
        <w:rPr>
          <w:rFonts w:ascii="Times New Roman" w:hAnsi="Times New Roman" w:cs="Times New Roman"/>
          <w:b/>
          <w:bCs/>
          <w:i/>
          <w:iCs/>
          <w:sz w:val="26"/>
          <w:szCs w:val="26"/>
          <w:lang w:val="vi-VN"/>
        </w:rPr>
        <w:t>s</w:t>
      </w:r>
      <w:r w:rsidR="00762300" w:rsidRPr="00DA5C88">
        <w:rPr>
          <w:rFonts w:ascii="Times New Roman" w:hAnsi="Times New Roman" w:cs="Times New Roman"/>
          <w:b/>
          <w:bCs/>
          <w:i/>
          <w:iCs/>
          <w:sz w:val="26"/>
          <w:szCs w:val="26"/>
          <w:lang w:val="vi-VN"/>
        </w:rPr>
        <w:t xml:space="preserve"> của Việt Nam chưa tương xứng với tiềm năng phát triển</w:t>
      </w:r>
      <w:r w:rsidR="00762300" w:rsidRPr="00DA5C88">
        <w:rPr>
          <w:rFonts w:ascii="Times New Roman" w:hAnsi="Times New Roman" w:cs="Times New Roman"/>
          <w:sz w:val="26"/>
          <w:szCs w:val="26"/>
          <w:lang w:val="vi-VN"/>
        </w:rPr>
        <w:t>; làm ảnh hưởng đến năng lực vận chuyển, sức cạnh tranh của hàng hóa Việt Nam trên trường quốc tế.</w:t>
      </w:r>
      <w:r w:rsidR="00762300" w:rsidRPr="00DA5C88">
        <w:rPr>
          <w:rFonts w:ascii="Times New Roman" w:hAnsi="Times New Roman" w:cs="Times New Roman"/>
          <w:color w:val="000000" w:themeColor="text1"/>
          <w:sz w:val="26"/>
          <w:szCs w:val="26"/>
          <w:lang w:val="vi-VN"/>
        </w:rPr>
        <w:t xml:space="preserve"> Việt Nam vẫn đang ở vị thế </w:t>
      </w:r>
      <w:r w:rsidR="000B7100" w:rsidRPr="00DA5C88">
        <w:rPr>
          <w:rFonts w:ascii="Times New Roman" w:hAnsi="Times New Roman" w:cs="Times New Roman"/>
          <w:color w:val="000000" w:themeColor="text1"/>
          <w:sz w:val="26"/>
          <w:szCs w:val="26"/>
          <w:lang w:val="vi-VN"/>
        </w:rPr>
        <w:t>“</w:t>
      </w:r>
      <w:r w:rsidR="00762300" w:rsidRPr="00DA5C88">
        <w:rPr>
          <w:rFonts w:ascii="Times New Roman" w:hAnsi="Times New Roman" w:cs="Times New Roman"/>
          <w:color w:val="000000" w:themeColor="text1"/>
          <w:sz w:val="26"/>
          <w:szCs w:val="26"/>
          <w:lang w:val="vi-VN"/>
        </w:rPr>
        <w:t>nhập siêu logistics</w:t>
      </w:r>
      <w:r w:rsidR="000B7100" w:rsidRPr="00DA5C88">
        <w:rPr>
          <w:rFonts w:ascii="Times New Roman" w:hAnsi="Times New Roman" w:cs="Times New Roman"/>
          <w:color w:val="000000" w:themeColor="text1"/>
          <w:sz w:val="26"/>
          <w:szCs w:val="26"/>
          <w:lang w:val="vi-VN"/>
        </w:rPr>
        <w:t>”</w:t>
      </w:r>
      <w:r w:rsidR="00762300" w:rsidRPr="00DA5C88">
        <w:rPr>
          <w:rFonts w:ascii="Times New Roman" w:hAnsi="Times New Roman" w:cs="Times New Roman"/>
          <w:color w:val="000000" w:themeColor="text1"/>
          <w:sz w:val="26"/>
          <w:szCs w:val="26"/>
          <w:lang w:val="vi-VN"/>
        </w:rPr>
        <w:t>, với hệ thống cảng biển chủ yếu cung cấp dịch vụ xếp dỡ hàng hóa, tương đương khoảng 20% chức năng của một trung tâm hàng hải quốc tế theo tiêu chuẩn thế giới. Hầu hết các dịch vụ giá trị gia tăng như đóng mới, sửa chữa tàu, tài chính, bảo hiểm hàng hải, cũng như dịch vụ công nghệ số</w:t>
      </w:r>
      <w:r w:rsidR="00763569">
        <w:rPr>
          <w:rFonts w:ascii="Times New Roman" w:hAnsi="Times New Roman" w:cs="Times New Roman"/>
          <w:color w:val="000000" w:themeColor="text1"/>
          <w:sz w:val="26"/>
          <w:szCs w:val="26"/>
          <w:lang w:val="en-US"/>
        </w:rPr>
        <w:t xml:space="preserve"> liên quan</w:t>
      </w:r>
      <w:r w:rsidR="00762300" w:rsidRPr="00DA5C88">
        <w:rPr>
          <w:rFonts w:ascii="Times New Roman" w:hAnsi="Times New Roman" w:cs="Times New Roman"/>
          <w:color w:val="000000" w:themeColor="text1"/>
          <w:sz w:val="26"/>
          <w:szCs w:val="26"/>
          <w:lang w:val="vi-VN"/>
        </w:rPr>
        <w:t xml:space="preserve"> đều nằm ngoài khu vực cảng và phụ thuộc vào doanh nghiệp nước ngoài. Trong khi đó, </w:t>
      </w:r>
      <w:r w:rsidR="00763569">
        <w:rPr>
          <w:rFonts w:ascii="Times New Roman" w:hAnsi="Times New Roman" w:cs="Times New Roman"/>
          <w:color w:val="000000" w:themeColor="text1"/>
          <w:sz w:val="26"/>
          <w:szCs w:val="26"/>
          <w:lang w:val="en-US"/>
        </w:rPr>
        <w:t>Việt Nam có rất</w:t>
      </w:r>
      <w:r w:rsidR="00762300" w:rsidRPr="00DA5C88">
        <w:rPr>
          <w:rFonts w:ascii="Times New Roman" w:hAnsi="Times New Roman" w:cs="Times New Roman"/>
          <w:color w:val="000000" w:themeColor="text1"/>
          <w:sz w:val="26"/>
          <w:szCs w:val="26"/>
          <w:lang w:val="vi-VN"/>
        </w:rPr>
        <w:t xml:space="preserve"> </w:t>
      </w:r>
      <w:r w:rsidR="00405DD0" w:rsidRPr="00DA5C88">
        <w:rPr>
          <w:rFonts w:ascii="Times New Roman" w:hAnsi="Times New Roman" w:cs="Times New Roman"/>
          <w:color w:val="000000" w:themeColor="text1"/>
          <w:sz w:val="26"/>
          <w:szCs w:val="26"/>
          <w:lang w:val="vi-VN"/>
        </w:rPr>
        <w:t>nhiều</w:t>
      </w:r>
      <w:r w:rsidR="00762300" w:rsidRPr="00DA5C88">
        <w:rPr>
          <w:rFonts w:ascii="Times New Roman" w:hAnsi="Times New Roman" w:cs="Times New Roman"/>
          <w:color w:val="000000" w:themeColor="text1"/>
          <w:sz w:val="26"/>
          <w:szCs w:val="26"/>
          <w:lang w:val="vi-VN"/>
        </w:rPr>
        <w:t xml:space="preserve"> lợi thế: (i) vị trí địa lý chiến lược trên tuyến hàng hải quốc tế chiếm tới 65% thương mại toàn cầu; (ii) Việt Nam thuộc nhóm 17 quốc gia có quy mô thương mại lớn nhất thế giới; (iii) Ký kết 1</w:t>
      </w:r>
      <w:r w:rsidR="00E32600" w:rsidRPr="00DA5C88">
        <w:rPr>
          <w:rFonts w:ascii="Times New Roman" w:hAnsi="Times New Roman" w:cs="Times New Roman"/>
          <w:color w:val="000000" w:themeColor="text1"/>
          <w:sz w:val="26"/>
          <w:szCs w:val="26"/>
          <w:lang w:val="vi-VN"/>
        </w:rPr>
        <w:t>7</w:t>
      </w:r>
      <w:r w:rsidR="00762300" w:rsidRPr="00DA5C88">
        <w:rPr>
          <w:rFonts w:ascii="Times New Roman" w:hAnsi="Times New Roman" w:cs="Times New Roman"/>
          <w:color w:val="000000" w:themeColor="text1"/>
          <w:sz w:val="26"/>
          <w:szCs w:val="26"/>
          <w:lang w:val="vi-VN"/>
        </w:rPr>
        <w:t xml:space="preserve"> Hiệp định thương mại tự do (FTAs), bao trùm hơn 60 thị trường và 90% GDP toàn cầu; (iv) Sở hữu Cụm cảng Cái Mép </w:t>
      </w:r>
      <w:r w:rsidR="00EC7260" w:rsidRPr="00DA5C88">
        <w:rPr>
          <w:rFonts w:ascii="Times New Roman" w:hAnsi="Times New Roman" w:cs="Times New Roman"/>
          <w:color w:val="000000" w:themeColor="text1"/>
          <w:sz w:val="26"/>
          <w:szCs w:val="26"/>
          <w:lang w:val="vi-VN"/>
        </w:rPr>
        <w:t>-</w:t>
      </w:r>
      <w:r w:rsidR="00762300" w:rsidRPr="00DA5C88">
        <w:rPr>
          <w:rFonts w:ascii="Times New Roman" w:hAnsi="Times New Roman" w:cs="Times New Roman"/>
          <w:color w:val="000000" w:themeColor="text1"/>
          <w:sz w:val="26"/>
          <w:szCs w:val="26"/>
          <w:lang w:val="vi-VN"/>
        </w:rPr>
        <w:t xml:space="preserve"> Thị Vải đủ sức đón các siêu tàu 24.000-25.000 TEU lớn nhất thế giới. Đây là những điều kiện cần, mở ra hành lang hội </w:t>
      </w:r>
      <w:r w:rsidR="00762300" w:rsidRPr="00DA5C88">
        <w:rPr>
          <w:rFonts w:ascii="Times New Roman" w:hAnsi="Times New Roman" w:cs="Times New Roman"/>
          <w:color w:val="000000" w:themeColor="text1"/>
          <w:sz w:val="26"/>
          <w:szCs w:val="26"/>
          <w:lang w:val="vi-VN"/>
        </w:rPr>
        <w:lastRenderedPageBreak/>
        <w:t xml:space="preserve">nhập sâu rộng, tạo cơ hội vàng để Việt Nam vươn lên trở thành trung tâm hàng hải - logistics và sản xuất mới của châu Á. </w:t>
      </w:r>
    </w:p>
    <w:p w14:paraId="43250EA9" w14:textId="5B330CB5" w:rsidR="00762300" w:rsidRPr="00B07BD4" w:rsidRDefault="00762300" w:rsidP="00890D38">
      <w:pPr>
        <w:spacing w:line="360" w:lineRule="auto"/>
        <w:ind w:firstLine="709"/>
        <w:jc w:val="both"/>
        <w:rPr>
          <w:rFonts w:ascii="Times New Roman" w:hAnsi="Times New Roman" w:cs="Times New Roman"/>
          <w:color w:val="000000" w:themeColor="text1"/>
          <w:sz w:val="26"/>
          <w:szCs w:val="26"/>
          <w:lang w:val="en-US"/>
        </w:rPr>
      </w:pPr>
      <w:r w:rsidRPr="00DA5C88">
        <w:rPr>
          <w:rFonts w:ascii="Times New Roman" w:hAnsi="Times New Roman" w:cs="Times New Roman"/>
          <w:b/>
          <w:bCs/>
          <w:i/>
          <w:iCs/>
          <w:color w:val="000000" w:themeColor="text1"/>
          <w:sz w:val="26"/>
          <w:szCs w:val="26"/>
          <w:lang w:val="vi-VN"/>
        </w:rPr>
        <w:t xml:space="preserve">Thứ hai, vận tải thủy nội địa chưa phát triển tương xứng với tiềm năng và lợi thế, </w:t>
      </w:r>
      <w:r w:rsidR="00EC7260" w:rsidRPr="00DA5C88">
        <w:rPr>
          <w:rFonts w:ascii="Times New Roman" w:hAnsi="Times New Roman" w:cs="Times New Roman"/>
          <w:b/>
          <w:bCs/>
          <w:i/>
          <w:iCs/>
          <w:color w:val="000000" w:themeColor="text1"/>
          <w:sz w:val="26"/>
          <w:szCs w:val="26"/>
          <w:lang w:val="vi-VN"/>
        </w:rPr>
        <w:t>khiến chưa tối ưu</w:t>
      </w:r>
      <w:r w:rsidRPr="00DA5C88">
        <w:rPr>
          <w:rFonts w:ascii="Times New Roman" w:hAnsi="Times New Roman" w:cs="Times New Roman"/>
          <w:b/>
          <w:bCs/>
          <w:i/>
          <w:iCs/>
          <w:color w:val="000000" w:themeColor="text1"/>
          <w:sz w:val="26"/>
          <w:szCs w:val="26"/>
          <w:lang w:val="vi-VN"/>
        </w:rPr>
        <w:t xml:space="preserve"> việc vận chuyển hàng hóa, từ thời gian đến giá cả</w:t>
      </w:r>
      <w:r w:rsidRPr="00DA5C88">
        <w:rPr>
          <w:rFonts w:ascii="Times New Roman" w:hAnsi="Times New Roman" w:cs="Times New Roman"/>
          <w:color w:val="000000" w:themeColor="text1"/>
          <w:sz w:val="26"/>
          <w:szCs w:val="26"/>
          <w:lang w:val="vi-VN"/>
        </w:rPr>
        <w:t xml:space="preserve">. Việt Nam là một trong những quốc gia có mạng lưới sông ngòi dày đặc nhất thế giới, với 2.360 sông, kênh có tổng chiều dài hơn 42.000 km, trong đó khoảng 17.000 km (tương đương 41%) có khả năng khai thác giao thông thủy nội địa. Hệ thống này bao phủ hầu hết các vùng kinh tế trọng điểm, đặc biệt tại Đồng bằng sông Hồng, Đồng bằng sông Cửu Long và khu vực Đông Nam Bộ, tạo thành một mạng lưới vận tải tự nhiên có chi phí thấp, năng lực chuyên chở lớn, phát thải thấp và hiệu quả năng lượng cao. Hiện cả nước có gần 6.500 bến thủy nội địa, khoảng 1.800 doanh nghiệp hoạt động trong lĩnh vực vận tải thủy nội địa, với hơn 270.000 phương tiện thủy và 3.000 phương tiện chạy ven biển, đảm bảo vận chuyển khoảng 20% tổng lượng hàng hóa của Việt Nam </w:t>
      </w:r>
      <w:r w:rsidR="00EC7260" w:rsidRPr="00DA5C88">
        <w:rPr>
          <w:rFonts w:ascii="Times New Roman" w:hAnsi="Times New Roman" w:cs="Times New Roman"/>
          <w:color w:val="000000" w:themeColor="text1"/>
          <w:sz w:val="26"/>
          <w:szCs w:val="26"/>
          <w:lang w:val="vi-VN"/>
        </w:rPr>
        <w:t>-</w:t>
      </w:r>
      <w:r w:rsidRPr="00DA5C88">
        <w:rPr>
          <w:rFonts w:ascii="Times New Roman" w:hAnsi="Times New Roman" w:cs="Times New Roman"/>
          <w:color w:val="000000" w:themeColor="text1"/>
          <w:sz w:val="26"/>
          <w:szCs w:val="26"/>
          <w:lang w:val="vi-VN"/>
        </w:rPr>
        <w:t xml:space="preserve"> cao hơn nhiều so với mức bình quân 5</w:t>
      </w:r>
      <w:r w:rsidR="00EC7260" w:rsidRPr="00DA5C88">
        <w:rPr>
          <w:rFonts w:ascii="Times New Roman" w:hAnsi="Times New Roman" w:cs="Times New Roman"/>
          <w:color w:val="000000" w:themeColor="text1"/>
          <w:sz w:val="26"/>
          <w:szCs w:val="26"/>
          <w:lang w:val="vi-VN"/>
        </w:rPr>
        <w:t xml:space="preserve"> - </w:t>
      </w:r>
      <w:r w:rsidRPr="00DA5C88">
        <w:rPr>
          <w:rFonts w:ascii="Times New Roman" w:hAnsi="Times New Roman" w:cs="Times New Roman"/>
          <w:color w:val="000000" w:themeColor="text1"/>
          <w:sz w:val="26"/>
          <w:szCs w:val="26"/>
          <w:lang w:val="vi-VN"/>
        </w:rPr>
        <w:t xml:space="preserve">7% của các nước trong khu vực. 70% sản lượng hàng hóa thủy nội địa tập trung ở khu vực phía Nam, nơi hệ thống kênh rạch, sông ngòi kết nối chặt chẽ với các trung tâm công nghiệp và cụm cảng nước sâu như Cái Mép </w:t>
      </w:r>
      <w:r w:rsidR="00EC7260" w:rsidRPr="00DA5C88">
        <w:rPr>
          <w:rFonts w:ascii="Times New Roman" w:hAnsi="Times New Roman" w:cs="Times New Roman"/>
          <w:color w:val="000000" w:themeColor="text1"/>
          <w:sz w:val="26"/>
          <w:szCs w:val="26"/>
          <w:lang w:val="vi-VN"/>
        </w:rPr>
        <w:t>-</w:t>
      </w:r>
      <w:r w:rsidRPr="00DA5C88">
        <w:rPr>
          <w:rFonts w:ascii="Times New Roman" w:hAnsi="Times New Roman" w:cs="Times New Roman"/>
          <w:color w:val="000000" w:themeColor="text1"/>
          <w:sz w:val="26"/>
          <w:szCs w:val="26"/>
          <w:lang w:val="vi-VN"/>
        </w:rPr>
        <w:t xml:space="preserve"> Thị Vải, TP. Hồ Chí Minh, Đồng Nai. Tuy nhiên, tỷ trọng đầu tư công dành cho lĩnh vực này chỉ chiếm khoảng 2% tổng đầu tư toàn ngành giao thông vận tải giai đoạn 2001-2020</w:t>
      </w:r>
      <w:r w:rsidR="00405DD0" w:rsidRPr="00DA5C88">
        <w:rPr>
          <w:rFonts w:ascii="Times New Roman" w:hAnsi="Times New Roman" w:cs="Times New Roman"/>
          <w:color w:val="000000" w:themeColor="text1"/>
          <w:sz w:val="26"/>
          <w:szCs w:val="26"/>
          <w:lang w:val="vi-VN"/>
        </w:rPr>
        <w:t>. T</w:t>
      </w:r>
      <w:r w:rsidR="00EC7260" w:rsidRPr="00DA5C88">
        <w:rPr>
          <w:rFonts w:ascii="Times New Roman" w:hAnsi="Times New Roman" w:cs="Times New Roman"/>
          <w:color w:val="000000" w:themeColor="text1"/>
          <w:sz w:val="26"/>
          <w:szCs w:val="26"/>
          <w:lang w:val="vi-VN"/>
        </w:rPr>
        <w:t>ừ 2021 tới nay có xu hướng tăng nhẹ nhưng vẫn</w:t>
      </w:r>
      <w:r w:rsidRPr="00DA5C88">
        <w:rPr>
          <w:rFonts w:ascii="Times New Roman" w:hAnsi="Times New Roman" w:cs="Times New Roman"/>
          <w:color w:val="000000" w:themeColor="text1"/>
          <w:sz w:val="26"/>
          <w:szCs w:val="26"/>
          <w:lang w:val="vi-VN"/>
        </w:rPr>
        <w:t xml:space="preserve"> thấp hơn nhiều so với đóng góp thực tế của vận tải thủy nội địa đối với lưu thông hàng hóa, kết nối vùng và giảm phát thải. Trong khi đó, 82% vốn đầu tư vào lĩnh vực này đến từ nguồn xã hội hóa ngoài ngân sách, cho thấy tiềm năng huy động nguồn lực tư nhân lớn nếu được hỗ trợ bởi cơ chế, chính sách phù hợp</w:t>
      </w:r>
      <w:r w:rsidR="00B07BD4">
        <w:rPr>
          <w:rFonts w:ascii="Times New Roman" w:hAnsi="Times New Roman" w:cs="Times New Roman"/>
          <w:color w:val="000000" w:themeColor="text1"/>
          <w:sz w:val="26"/>
          <w:szCs w:val="26"/>
          <w:lang w:val="en-US"/>
        </w:rPr>
        <w:t xml:space="preserve"> </w:t>
      </w:r>
      <w:r w:rsidR="00B07BD4" w:rsidRPr="00B07BD4">
        <w:rPr>
          <w:rFonts w:ascii="Times New Roman" w:hAnsi="Times New Roman" w:cs="Times New Roman"/>
          <w:b/>
          <w:bCs/>
          <w:color w:val="000000" w:themeColor="text1"/>
          <w:sz w:val="26"/>
          <w:szCs w:val="26"/>
          <w:lang w:val="en-US"/>
        </w:rPr>
        <w:t>(Phụ lục 1).</w:t>
      </w:r>
    </w:p>
    <w:p w14:paraId="2C283717" w14:textId="7899CEE9" w:rsidR="004054A0" w:rsidRPr="00DA5C88" w:rsidRDefault="00762300" w:rsidP="00890D38">
      <w:pPr>
        <w:spacing w:line="360" w:lineRule="auto"/>
        <w:ind w:firstLine="709"/>
        <w:jc w:val="both"/>
        <w:rPr>
          <w:rFonts w:ascii="Times New Roman" w:hAnsi="Times New Roman" w:cs="Times New Roman"/>
          <w:b/>
          <w:bCs/>
          <w:i/>
          <w:iCs/>
          <w:color w:val="000000" w:themeColor="text1"/>
          <w:sz w:val="26"/>
          <w:szCs w:val="26"/>
          <w:lang w:val="vi-VN"/>
        </w:rPr>
      </w:pPr>
      <w:r w:rsidRPr="00DA5C88">
        <w:rPr>
          <w:rFonts w:ascii="Times New Roman" w:hAnsi="Times New Roman" w:cs="Times New Roman"/>
          <w:b/>
          <w:bCs/>
          <w:i/>
          <w:iCs/>
          <w:color w:val="000000" w:themeColor="text1"/>
          <w:sz w:val="26"/>
          <w:szCs w:val="26"/>
          <w:lang w:val="vi-VN"/>
        </w:rPr>
        <w:t xml:space="preserve">Thứ ba, </w:t>
      </w:r>
      <w:r w:rsidR="004054A0" w:rsidRPr="00DA5C88">
        <w:rPr>
          <w:rFonts w:ascii="Times New Roman" w:hAnsi="Times New Roman" w:cs="Times New Roman"/>
          <w:b/>
          <w:bCs/>
          <w:i/>
          <w:iCs/>
          <w:color w:val="000000" w:themeColor="text1"/>
          <w:sz w:val="26"/>
          <w:szCs w:val="26"/>
          <w:lang w:val="vi-VN"/>
        </w:rPr>
        <w:t>nhiều doanh nghiệp, ngành hàng</w:t>
      </w:r>
      <w:r w:rsidR="00763569">
        <w:rPr>
          <w:rFonts w:ascii="Times New Roman" w:hAnsi="Times New Roman" w:cs="Times New Roman"/>
          <w:b/>
          <w:bCs/>
          <w:i/>
          <w:iCs/>
          <w:color w:val="000000" w:themeColor="text1"/>
          <w:sz w:val="26"/>
          <w:szCs w:val="26"/>
          <w:lang w:val="en-US"/>
        </w:rPr>
        <w:t xml:space="preserve"> cho biết</w:t>
      </w:r>
      <w:r w:rsidR="00EC7260" w:rsidRPr="00DA5C88">
        <w:rPr>
          <w:rFonts w:ascii="Times New Roman" w:hAnsi="Times New Roman" w:cs="Times New Roman"/>
          <w:b/>
          <w:bCs/>
          <w:i/>
          <w:iCs/>
          <w:color w:val="000000" w:themeColor="text1"/>
          <w:sz w:val="26"/>
          <w:szCs w:val="26"/>
          <w:lang w:val="vi-VN"/>
        </w:rPr>
        <w:t xml:space="preserve"> vẫn</w:t>
      </w:r>
      <w:r w:rsidR="004054A0" w:rsidRPr="00DA5C88">
        <w:rPr>
          <w:rFonts w:ascii="Times New Roman" w:hAnsi="Times New Roman" w:cs="Times New Roman"/>
          <w:b/>
          <w:bCs/>
          <w:i/>
          <w:iCs/>
          <w:color w:val="000000" w:themeColor="text1"/>
          <w:sz w:val="26"/>
          <w:szCs w:val="26"/>
          <w:lang w:val="vi-VN"/>
        </w:rPr>
        <w:t xml:space="preserve"> gặp khó khăn trong việc tiếp cận thông tin</w:t>
      </w:r>
      <w:r w:rsidR="00EC7260" w:rsidRPr="00DA5C88">
        <w:rPr>
          <w:rFonts w:ascii="Times New Roman" w:hAnsi="Times New Roman" w:cs="Times New Roman"/>
          <w:b/>
          <w:bCs/>
          <w:i/>
          <w:iCs/>
          <w:color w:val="000000" w:themeColor="text1"/>
          <w:sz w:val="26"/>
          <w:szCs w:val="26"/>
          <w:lang w:val="vi-VN"/>
        </w:rPr>
        <w:t xml:space="preserve"> </w:t>
      </w:r>
      <w:r w:rsidR="00EC7260" w:rsidRPr="00DA5C88">
        <w:rPr>
          <w:rFonts w:ascii="Times New Roman" w:hAnsi="Times New Roman" w:cs="Times New Roman"/>
          <w:color w:val="000000" w:themeColor="text1"/>
          <w:sz w:val="26"/>
          <w:szCs w:val="26"/>
          <w:lang w:val="vi-VN"/>
        </w:rPr>
        <w:t>để</w:t>
      </w:r>
      <w:r w:rsidR="004054A0" w:rsidRPr="00DA5C88">
        <w:rPr>
          <w:rFonts w:ascii="Times New Roman" w:hAnsi="Times New Roman" w:cs="Times New Roman"/>
          <w:color w:val="000000" w:themeColor="text1"/>
          <w:sz w:val="26"/>
          <w:szCs w:val="26"/>
          <w:lang w:val="vi-VN"/>
        </w:rPr>
        <w:t xml:space="preserve"> xây dựng chiến lược ứng phó và giữ được lợi thế cạnh tranh của hàng hóa Việt Nam tại Hoa Kỳ do ảnh hưởng bởi thuế đối ứng và các sắc thuế khác. </w:t>
      </w:r>
      <w:r w:rsidR="00847C8C">
        <w:rPr>
          <w:rFonts w:ascii="Times New Roman" w:hAnsi="Times New Roman" w:cs="Times New Roman"/>
          <w:color w:val="000000" w:themeColor="text1"/>
          <w:sz w:val="26"/>
          <w:szCs w:val="26"/>
          <w:lang w:val="en-US"/>
        </w:rPr>
        <w:t xml:space="preserve">Đồng thời, </w:t>
      </w:r>
      <w:r w:rsidR="004054A0" w:rsidRPr="00DA5C88">
        <w:rPr>
          <w:rFonts w:ascii="Times New Roman" w:hAnsi="Times New Roman" w:cs="Times New Roman"/>
          <w:b/>
          <w:bCs/>
          <w:i/>
          <w:iCs/>
          <w:color w:val="000000" w:themeColor="text1"/>
          <w:sz w:val="26"/>
          <w:szCs w:val="26"/>
          <w:lang w:val="vi-VN"/>
        </w:rPr>
        <w:t xml:space="preserve">chi phí tuân thủ đối với doanh nghiệp xuất khẩu gia tăng do ảnh hưởng của thuế đối ứng, các bất cập trong vận tải đường bộ, sự chậm </w:t>
      </w:r>
      <w:r w:rsidR="004172CC" w:rsidRPr="004172CC">
        <w:rPr>
          <w:rFonts w:ascii="Times New Roman" w:hAnsi="Times New Roman" w:cs="Times New Roman"/>
          <w:b/>
          <w:bCs/>
          <w:i/>
          <w:iCs/>
          <w:color w:val="000000" w:themeColor="text1"/>
          <w:sz w:val="26"/>
          <w:szCs w:val="26"/>
          <w:lang w:val="vi-VN"/>
        </w:rPr>
        <w:t>trễ</w:t>
      </w:r>
      <w:r w:rsidR="004054A0" w:rsidRPr="00DA5C88">
        <w:rPr>
          <w:rFonts w:ascii="Times New Roman" w:hAnsi="Times New Roman" w:cs="Times New Roman"/>
          <w:b/>
          <w:bCs/>
          <w:i/>
          <w:iCs/>
          <w:color w:val="000000" w:themeColor="text1"/>
          <w:sz w:val="26"/>
          <w:szCs w:val="26"/>
          <w:lang w:val="vi-VN"/>
        </w:rPr>
        <w:t xml:space="preserve"> trong hoàn thuế xuất khẩu</w:t>
      </w:r>
      <w:r w:rsidR="004054A0" w:rsidRPr="00DA5C88">
        <w:rPr>
          <w:rFonts w:ascii="Times New Roman" w:hAnsi="Times New Roman" w:cs="Times New Roman"/>
          <w:color w:val="000000" w:themeColor="text1"/>
          <w:sz w:val="26"/>
          <w:szCs w:val="26"/>
          <w:lang w:val="vi-VN"/>
        </w:rPr>
        <w:t xml:space="preserve"> cho doanh nghiệp, đang khiến dòng tiền của doanh nghiệp bị ảnh hưởng, </w:t>
      </w:r>
      <w:r w:rsidR="00CC3E6E" w:rsidRPr="00DA5C88">
        <w:rPr>
          <w:rFonts w:ascii="Times New Roman" w:hAnsi="Times New Roman" w:cs="Times New Roman"/>
          <w:color w:val="000000" w:themeColor="text1"/>
          <w:sz w:val="26"/>
          <w:szCs w:val="26"/>
          <w:lang w:val="vi-VN"/>
        </w:rPr>
        <w:t>tác động tiêu cực</w:t>
      </w:r>
      <w:r w:rsidR="004054A0" w:rsidRPr="00DA5C88">
        <w:rPr>
          <w:rFonts w:ascii="Times New Roman" w:hAnsi="Times New Roman" w:cs="Times New Roman"/>
          <w:color w:val="000000" w:themeColor="text1"/>
          <w:sz w:val="26"/>
          <w:szCs w:val="26"/>
          <w:lang w:val="vi-VN"/>
        </w:rPr>
        <w:t xml:space="preserve"> đến hoạt động xuất khẩu, vốn là động lực tăng trưởng quan trọng</w:t>
      </w:r>
      <w:r w:rsidR="00CC3E6E" w:rsidRPr="00DA5C88">
        <w:rPr>
          <w:rFonts w:ascii="Times New Roman" w:hAnsi="Times New Roman" w:cs="Times New Roman"/>
          <w:color w:val="000000" w:themeColor="text1"/>
          <w:sz w:val="26"/>
          <w:szCs w:val="26"/>
          <w:lang w:val="vi-VN"/>
        </w:rPr>
        <w:t xml:space="preserve"> </w:t>
      </w:r>
      <w:r w:rsidR="00CC3E6E" w:rsidRPr="00DA5C88">
        <w:rPr>
          <w:rFonts w:ascii="Times New Roman" w:hAnsi="Times New Roman" w:cs="Times New Roman"/>
          <w:b/>
          <w:bCs/>
          <w:color w:val="000000" w:themeColor="text1"/>
          <w:sz w:val="26"/>
          <w:szCs w:val="26"/>
          <w:lang w:val="vi-VN"/>
        </w:rPr>
        <w:t xml:space="preserve">(Phụ lục </w:t>
      </w:r>
      <w:r w:rsidR="008C132F">
        <w:rPr>
          <w:rFonts w:ascii="Times New Roman" w:hAnsi="Times New Roman" w:cs="Times New Roman"/>
          <w:b/>
          <w:bCs/>
          <w:color w:val="000000" w:themeColor="text1"/>
          <w:sz w:val="26"/>
          <w:szCs w:val="26"/>
          <w:lang w:val="en-US"/>
        </w:rPr>
        <w:t>2</w:t>
      </w:r>
      <w:r w:rsidR="00CC3E6E" w:rsidRPr="00DA5C88">
        <w:rPr>
          <w:rFonts w:ascii="Times New Roman" w:hAnsi="Times New Roman" w:cs="Times New Roman"/>
          <w:b/>
          <w:bCs/>
          <w:color w:val="000000" w:themeColor="text1"/>
          <w:sz w:val="26"/>
          <w:szCs w:val="26"/>
          <w:lang w:val="vi-VN"/>
        </w:rPr>
        <w:t>)</w:t>
      </w:r>
      <w:r w:rsidR="00EC7260" w:rsidRPr="00DA5C88">
        <w:rPr>
          <w:rFonts w:ascii="Times New Roman" w:hAnsi="Times New Roman" w:cs="Times New Roman"/>
          <w:b/>
          <w:bCs/>
          <w:color w:val="000000" w:themeColor="text1"/>
          <w:sz w:val="26"/>
          <w:szCs w:val="26"/>
          <w:lang w:val="vi-VN"/>
        </w:rPr>
        <w:t>.</w:t>
      </w:r>
    </w:p>
    <w:p w14:paraId="1F86D6EB" w14:textId="08D94402" w:rsidR="004054A0" w:rsidRPr="00DA5C88" w:rsidRDefault="004054A0" w:rsidP="00890D38">
      <w:pPr>
        <w:spacing w:line="360" w:lineRule="auto"/>
        <w:ind w:firstLine="709"/>
        <w:jc w:val="both"/>
        <w:rPr>
          <w:rFonts w:ascii="Times New Roman" w:hAnsi="Times New Roman" w:cs="Times New Roman"/>
          <w:b/>
          <w:bCs/>
          <w:color w:val="000000" w:themeColor="text1"/>
          <w:sz w:val="26"/>
          <w:szCs w:val="26"/>
          <w:lang w:val="vi-VN"/>
        </w:rPr>
      </w:pPr>
      <w:r w:rsidRPr="00DA5C88">
        <w:rPr>
          <w:rFonts w:ascii="Times New Roman" w:hAnsi="Times New Roman" w:cs="Times New Roman"/>
          <w:b/>
          <w:bCs/>
          <w:color w:val="000000" w:themeColor="text1"/>
          <w:sz w:val="26"/>
          <w:szCs w:val="26"/>
          <w:lang w:val="vi-VN"/>
        </w:rPr>
        <w:lastRenderedPageBreak/>
        <w:t xml:space="preserve">2. </w:t>
      </w:r>
      <w:r w:rsidR="00763569">
        <w:rPr>
          <w:rFonts w:ascii="Times New Roman" w:hAnsi="Times New Roman" w:cs="Times New Roman"/>
          <w:b/>
          <w:bCs/>
          <w:color w:val="000000" w:themeColor="text1"/>
          <w:sz w:val="26"/>
          <w:szCs w:val="26"/>
          <w:lang w:val="en-US"/>
        </w:rPr>
        <w:t>Doanh nghiệp đánh giá việc t</w:t>
      </w:r>
      <w:r w:rsidRPr="00DA5C88">
        <w:rPr>
          <w:rFonts w:ascii="Times New Roman" w:hAnsi="Times New Roman" w:cs="Times New Roman"/>
          <w:b/>
          <w:bCs/>
          <w:color w:val="000000" w:themeColor="text1"/>
          <w:sz w:val="26"/>
          <w:szCs w:val="26"/>
          <w:lang w:val="vi-VN"/>
        </w:rPr>
        <w:t xml:space="preserve">hực thi Nghị quyết 68 </w:t>
      </w:r>
      <w:r w:rsidR="0095104A">
        <w:rPr>
          <w:rFonts w:ascii="Times New Roman" w:hAnsi="Times New Roman" w:cs="Times New Roman"/>
          <w:b/>
          <w:bCs/>
          <w:color w:val="000000" w:themeColor="text1"/>
          <w:sz w:val="26"/>
          <w:szCs w:val="26"/>
          <w:lang w:val="en-US"/>
        </w:rPr>
        <w:t xml:space="preserve">đã </w:t>
      </w:r>
      <w:r w:rsidRPr="00DA5C88">
        <w:rPr>
          <w:rFonts w:ascii="Times New Roman" w:hAnsi="Times New Roman" w:cs="Times New Roman"/>
          <w:b/>
          <w:bCs/>
          <w:color w:val="000000" w:themeColor="text1"/>
          <w:sz w:val="26"/>
          <w:szCs w:val="26"/>
          <w:lang w:val="vi-VN"/>
        </w:rPr>
        <w:t xml:space="preserve">có khởi sắc và ý kiến doanh nghiệp, </w:t>
      </w:r>
      <w:r w:rsidR="00763569">
        <w:rPr>
          <w:rFonts w:ascii="Times New Roman" w:hAnsi="Times New Roman" w:cs="Times New Roman"/>
          <w:b/>
          <w:bCs/>
          <w:color w:val="000000" w:themeColor="text1"/>
          <w:sz w:val="26"/>
          <w:szCs w:val="26"/>
          <w:lang w:val="en-US"/>
        </w:rPr>
        <w:t>h</w:t>
      </w:r>
      <w:r w:rsidRPr="00DA5C88">
        <w:rPr>
          <w:rFonts w:ascii="Times New Roman" w:hAnsi="Times New Roman" w:cs="Times New Roman"/>
          <w:b/>
          <w:bCs/>
          <w:color w:val="000000" w:themeColor="text1"/>
          <w:sz w:val="26"/>
          <w:szCs w:val="26"/>
          <w:lang w:val="vi-VN"/>
        </w:rPr>
        <w:t>iệp hội được lắng nghe</w:t>
      </w:r>
      <w:r w:rsidR="00EC7260" w:rsidRPr="00DA5C88">
        <w:rPr>
          <w:rFonts w:ascii="Times New Roman" w:hAnsi="Times New Roman" w:cs="Times New Roman"/>
          <w:b/>
          <w:bCs/>
          <w:color w:val="000000" w:themeColor="text1"/>
          <w:sz w:val="26"/>
          <w:szCs w:val="26"/>
          <w:lang w:val="vi-VN"/>
        </w:rPr>
        <w:t>;</w:t>
      </w:r>
      <w:r w:rsidR="00DC2ACD" w:rsidRPr="00DA5C88">
        <w:rPr>
          <w:rFonts w:ascii="Times New Roman" w:hAnsi="Times New Roman" w:cs="Times New Roman"/>
          <w:b/>
          <w:bCs/>
          <w:color w:val="000000" w:themeColor="text1"/>
          <w:sz w:val="26"/>
          <w:szCs w:val="26"/>
          <w:lang w:val="vi-VN"/>
        </w:rPr>
        <w:t xml:space="preserve"> tuy nhiên cần đẩy mạnh hơn hiệu quả thực thi để đưa Nghị quyết vào</w:t>
      </w:r>
      <w:r w:rsidR="00665F0C" w:rsidRPr="00DA5C88">
        <w:rPr>
          <w:rFonts w:ascii="Times New Roman" w:hAnsi="Times New Roman" w:cs="Times New Roman"/>
          <w:b/>
          <w:bCs/>
          <w:color w:val="000000" w:themeColor="text1"/>
          <w:sz w:val="26"/>
          <w:szCs w:val="26"/>
          <w:lang w:val="vi-VN"/>
        </w:rPr>
        <w:t xml:space="preserve"> </w:t>
      </w:r>
      <w:r w:rsidR="00DC2ACD" w:rsidRPr="00DA5C88">
        <w:rPr>
          <w:rFonts w:ascii="Times New Roman" w:hAnsi="Times New Roman" w:cs="Times New Roman"/>
          <w:b/>
          <w:bCs/>
          <w:color w:val="000000" w:themeColor="text1"/>
          <w:sz w:val="26"/>
          <w:szCs w:val="26"/>
          <w:lang w:val="vi-VN"/>
        </w:rPr>
        <w:t>cuộc sống</w:t>
      </w:r>
    </w:p>
    <w:p w14:paraId="45CB0356" w14:textId="52A468B8" w:rsidR="00EC7260" w:rsidRPr="00DA5C88" w:rsidRDefault="0095104A" w:rsidP="00890D38">
      <w:pPr>
        <w:spacing w:line="360" w:lineRule="auto"/>
        <w:ind w:firstLine="709"/>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en-US"/>
        </w:rPr>
        <w:t>Trao đổi, thảo luận</w:t>
      </w:r>
      <w:r w:rsidR="004054A0" w:rsidRPr="00DA5C88">
        <w:rPr>
          <w:rFonts w:ascii="Times New Roman" w:hAnsi="Times New Roman" w:cs="Times New Roman"/>
          <w:color w:val="000000" w:themeColor="text1"/>
          <w:sz w:val="26"/>
          <w:szCs w:val="26"/>
          <w:lang w:val="vi-VN"/>
        </w:rPr>
        <w:t xml:space="preserve"> của Ban </w:t>
      </w:r>
      <w:r w:rsidR="00D51D12" w:rsidRPr="00DA5C88">
        <w:rPr>
          <w:rFonts w:ascii="Times New Roman" w:hAnsi="Times New Roman" w:cs="Times New Roman"/>
          <w:color w:val="000000" w:themeColor="text1"/>
          <w:sz w:val="26"/>
          <w:szCs w:val="26"/>
          <w:lang w:val="vi-VN"/>
        </w:rPr>
        <w:t>IV</w:t>
      </w:r>
      <w:r w:rsidR="00281416" w:rsidRPr="00DA5C88">
        <w:rPr>
          <w:rFonts w:ascii="Times New Roman" w:hAnsi="Times New Roman" w:cs="Times New Roman"/>
          <w:color w:val="000000" w:themeColor="text1"/>
          <w:sz w:val="26"/>
          <w:szCs w:val="26"/>
          <w:lang w:val="vi-VN"/>
        </w:rPr>
        <w:t xml:space="preserve"> với các hiệp hội doanh nghiệp cho thấy</w:t>
      </w:r>
      <w:r w:rsidR="004054A0" w:rsidRPr="00DA5C88">
        <w:rPr>
          <w:rFonts w:ascii="Times New Roman" w:hAnsi="Times New Roman" w:cs="Times New Roman"/>
          <w:color w:val="000000" w:themeColor="text1"/>
          <w:sz w:val="26"/>
          <w:szCs w:val="26"/>
          <w:lang w:val="vi-VN"/>
        </w:rPr>
        <w:t>, các hoạt động cụ thể hóa Nghị quyết 68-NQ/TW và các chỉ đạo</w:t>
      </w:r>
      <w:r w:rsidR="00EC7260" w:rsidRPr="00DA5C88">
        <w:rPr>
          <w:rFonts w:ascii="Times New Roman" w:hAnsi="Times New Roman" w:cs="Times New Roman"/>
          <w:color w:val="000000" w:themeColor="text1"/>
          <w:sz w:val="26"/>
          <w:szCs w:val="26"/>
          <w:lang w:val="vi-VN"/>
        </w:rPr>
        <w:t xml:space="preserve"> liên tục, mạnh mẽ</w:t>
      </w:r>
      <w:r w:rsidR="004054A0" w:rsidRPr="00DA5C88">
        <w:rPr>
          <w:rFonts w:ascii="Times New Roman" w:hAnsi="Times New Roman" w:cs="Times New Roman"/>
          <w:color w:val="000000" w:themeColor="text1"/>
          <w:sz w:val="26"/>
          <w:szCs w:val="26"/>
          <w:lang w:val="vi-VN"/>
        </w:rPr>
        <w:t xml:space="preserve"> của Thủ tướng</w:t>
      </w:r>
      <w:r w:rsidR="00EC7260" w:rsidRPr="00DA5C88">
        <w:rPr>
          <w:rFonts w:ascii="Times New Roman" w:hAnsi="Times New Roman" w:cs="Times New Roman"/>
          <w:color w:val="000000" w:themeColor="text1"/>
          <w:sz w:val="26"/>
          <w:szCs w:val="26"/>
          <w:lang w:val="vi-VN"/>
        </w:rPr>
        <w:t xml:space="preserve"> cùng Lãnh đạo Ban Chỉ đạo Quốc gia triển khai Nghị quyết 68</w:t>
      </w:r>
      <w:r w:rsidR="004054A0" w:rsidRPr="00DA5C88">
        <w:rPr>
          <w:rFonts w:ascii="Times New Roman" w:hAnsi="Times New Roman" w:cs="Times New Roman"/>
          <w:color w:val="000000" w:themeColor="text1"/>
          <w:sz w:val="26"/>
          <w:szCs w:val="26"/>
          <w:lang w:val="vi-VN"/>
        </w:rPr>
        <w:t xml:space="preserve"> đã đem lại kết quả tích cực</w:t>
      </w:r>
      <w:r w:rsidR="00EC7260" w:rsidRPr="00DA5C88">
        <w:rPr>
          <w:rFonts w:ascii="Times New Roman" w:hAnsi="Times New Roman" w:cs="Times New Roman"/>
          <w:color w:val="000000" w:themeColor="text1"/>
          <w:sz w:val="26"/>
          <w:szCs w:val="26"/>
          <w:lang w:val="vi-VN"/>
        </w:rPr>
        <w:t xml:space="preserve"> bước đầu</w:t>
      </w:r>
      <w:r w:rsidR="004054A0" w:rsidRPr="00DA5C88">
        <w:rPr>
          <w:rFonts w:ascii="Times New Roman" w:hAnsi="Times New Roman" w:cs="Times New Roman"/>
          <w:color w:val="000000" w:themeColor="text1"/>
          <w:sz w:val="26"/>
          <w:szCs w:val="26"/>
          <w:lang w:val="vi-VN"/>
        </w:rPr>
        <w:t xml:space="preserve"> và </w:t>
      </w:r>
      <w:r w:rsidR="00EC7260" w:rsidRPr="00DA5C88">
        <w:rPr>
          <w:rFonts w:ascii="Times New Roman" w:hAnsi="Times New Roman" w:cs="Times New Roman"/>
          <w:color w:val="000000" w:themeColor="text1"/>
          <w:sz w:val="26"/>
          <w:szCs w:val="26"/>
          <w:lang w:val="vi-VN"/>
        </w:rPr>
        <w:t xml:space="preserve">gia tăng </w:t>
      </w:r>
      <w:r w:rsidR="004054A0" w:rsidRPr="00DA5C88">
        <w:rPr>
          <w:rFonts w:ascii="Times New Roman" w:hAnsi="Times New Roman" w:cs="Times New Roman"/>
          <w:color w:val="000000" w:themeColor="text1"/>
          <w:sz w:val="26"/>
          <w:szCs w:val="26"/>
          <w:lang w:val="vi-VN"/>
        </w:rPr>
        <w:t>niềm tin cho cộng đồng doanh nghiệp.</w:t>
      </w:r>
      <w:r w:rsidR="00EC7260" w:rsidRPr="00DA5C88">
        <w:rPr>
          <w:rFonts w:ascii="Times New Roman" w:hAnsi="Times New Roman" w:cs="Times New Roman"/>
          <w:color w:val="000000" w:themeColor="text1"/>
          <w:sz w:val="26"/>
          <w:szCs w:val="26"/>
          <w:lang w:val="vi-VN"/>
        </w:rPr>
        <w:t xml:space="preserve"> So với khảo sát nhanh tháng 9 (đã báo cáo Thủ tướng Chính phủ), báo cáo tháng 10 này ghi nhận nhiều ý kiến tích cực hơn từ các hiệp hội doanh nghiệp, </w:t>
      </w:r>
      <w:r w:rsidR="00281416" w:rsidRPr="00DA5C88">
        <w:rPr>
          <w:rFonts w:ascii="Times New Roman" w:hAnsi="Times New Roman" w:cs="Times New Roman"/>
          <w:color w:val="000000" w:themeColor="text1"/>
          <w:sz w:val="26"/>
          <w:szCs w:val="26"/>
          <w:lang w:val="vi-VN"/>
        </w:rPr>
        <w:t>phản ánh</w:t>
      </w:r>
      <w:r w:rsidR="00EC7260" w:rsidRPr="00DA5C88">
        <w:rPr>
          <w:rFonts w:ascii="Times New Roman" w:hAnsi="Times New Roman" w:cs="Times New Roman"/>
          <w:color w:val="000000" w:themeColor="text1"/>
          <w:sz w:val="26"/>
          <w:szCs w:val="26"/>
          <w:lang w:val="vi-VN"/>
        </w:rPr>
        <w:t xml:space="preserve"> việc triển khai Nghị quyết 68 đã có hiệu ứng lan tỏa nhất định</w:t>
      </w:r>
      <w:r w:rsidR="00426D2C" w:rsidRPr="00DA5C88">
        <w:rPr>
          <w:rFonts w:ascii="Times New Roman" w:hAnsi="Times New Roman" w:cs="Times New Roman"/>
          <w:color w:val="000000" w:themeColor="text1"/>
          <w:sz w:val="26"/>
          <w:szCs w:val="26"/>
          <w:lang w:val="vi-VN"/>
        </w:rPr>
        <w:t xml:space="preserve"> </w:t>
      </w:r>
      <w:r w:rsidR="00426D2C" w:rsidRPr="00DA5C88">
        <w:rPr>
          <w:rFonts w:ascii="Times New Roman" w:hAnsi="Times New Roman" w:cs="Times New Roman"/>
          <w:b/>
          <w:bCs/>
          <w:color w:val="000000" w:themeColor="text1"/>
          <w:sz w:val="26"/>
          <w:szCs w:val="26"/>
          <w:lang w:val="vi-VN"/>
        </w:rPr>
        <w:t xml:space="preserve">(Phụ lục </w:t>
      </w:r>
      <w:r w:rsidR="00AA0E4A" w:rsidRPr="00AA0E4A">
        <w:rPr>
          <w:rFonts w:ascii="Times New Roman" w:hAnsi="Times New Roman" w:cs="Times New Roman"/>
          <w:b/>
          <w:bCs/>
          <w:color w:val="000000" w:themeColor="text1"/>
          <w:sz w:val="26"/>
          <w:szCs w:val="26"/>
          <w:lang w:val="vi-VN"/>
        </w:rPr>
        <w:t>4</w:t>
      </w:r>
      <w:r w:rsidR="00426D2C" w:rsidRPr="00DA5C88">
        <w:rPr>
          <w:rFonts w:ascii="Times New Roman" w:hAnsi="Times New Roman" w:cs="Times New Roman"/>
          <w:b/>
          <w:bCs/>
          <w:color w:val="000000" w:themeColor="text1"/>
          <w:sz w:val="26"/>
          <w:szCs w:val="26"/>
          <w:lang w:val="vi-VN"/>
        </w:rPr>
        <w:t>)</w:t>
      </w:r>
      <w:r w:rsidR="00EC7260" w:rsidRPr="00DA5C88">
        <w:rPr>
          <w:rFonts w:ascii="Times New Roman" w:hAnsi="Times New Roman" w:cs="Times New Roman"/>
          <w:b/>
          <w:bCs/>
          <w:color w:val="000000" w:themeColor="text1"/>
          <w:sz w:val="26"/>
          <w:szCs w:val="26"/>
          <w:lang w:val="vi-VN"/>
        </w:rPr>
        <w:t>.</w:t>
      </w:r>
    </w:p>
    <w:p w14:paraId="06F77C43" w14:textId="07963F53" w:rsidR="00EC7260" w:rsidRPr="00DA5C88" w:rsidRDefault="00EC7260" w:rsidP="00890D38">
      <w:pPr>
        <w:spacing w:line="360" w:lineRule="auto"/>
        <w:ind w:firstLine="709"/>
        <w:jc w:val="both"/>
        <w:rPr>
          <w:rFonts w:ascii="Times New Roman" w:hAnsi="Times New Roman" w:cs="Times New Roman"/>
          <w:color w:val="000000" w:themeColor="text1"/>
          <w:sz w:val="26"/>
          <w:szCs w:val="26"/>
          <w:lang w:val="vi-VN"/>
        </w:rPr>
      </w:pPr>
      <w:r w:rsidRPr="00DA5C88">
        <w:rPr>
          <w:rFonts w:ascii="Times New Roman" w:hAnsi="Times New Roman" w:cs="Times New Roman"/>
          <w:color w:val="000000" w:themeColor="text1"/>
          <w:sz w:val="26"/>
          <w:szCs w:val="26"/>
          <w:lang w:val="vi-VN"/>
        </w:rPr>
        <w:t xml:space="preserve">Bên cạnh đó, hàng loạt chương trình lớn theo chỉ đạo từ Chính phủ, Thủ tướng Chính phủ dành cho cộng đồng kinh tế tư nhân cũng mang tới </w:t>
      </w:r>
      <w:r w:rsidR="00D51D12" w:rsidRPr="00DA5C88">
        <w:rPr>
          <w:rFonts w:ascii="Times New Roman" w:hAnsi="Times New Roman" w:cs="Times New Roman"/>
          <w:color w:val="000000" w:themeColor="text1"/>
          <w:sz w:val="26"/>
          <w:szCs w:val="26"/>
          <w:lang w:val="vi-VN"/>
        </w:rPr>
        <w:t>sự hứng khởi và động lực cho các doanh nghiệp, như:</w:t>
      </w:r>
    </w:p>
    <w:p w14:paraId="7D58C732" w14:textId="4C9F8BCD" w:rsidR="004054A0" w:rsidRPr="00DA5C88" w:rsidRDefault="004054A0" w:rsidP="00890D38">
      <w:pPr>
        <w:spacing w:line="360" w:lineRule="auto"/>
        <w:ind w:firstLine="709"/>
        <w:jc w:val="both"/>
        <w:rPr>
          <w:rFonts w:ascii="Times New Roman" w:hAnsi="Times New Roman" w:cs="Times New Roman"/>
          <w:color w:val="000000" w:themeColor="text1"/>
          <w:sz w:val="26"/>
          <w:szCs w:val="26"/>
          <w:lang w:val="vi-VN"/>
        </w:rPr>
      </w:pPr>
      <w:r w:rsidRPr="00DA5C88">
        <w:rPr>
          <w:rFonts w:ascii="Times New Roman" w:hAnsi="Times New Roman" w:cs="Times New Roman"/>
          <w:color w:val="000000" w:themeColor="text1"/>
          <w:sz w:val="26"/>
          <w:szCs w:val="26"/>
          <w:lang w:val="vi-VN"/>
        </w:rPr>
        <w:t xml:space="preserve">Toàn cảnh kinh tế tư nhân lần thứ nhất (ViPEL), một nhiệm vụ được thủ tướng giao cho Ban </w:t>
      </w:r>
      <w:r w:rsidR="00D51D12" w:rsidRPr="00DA5C88">
        <w:rPr>
          <w:rFonts w:ascii="Times New Roman" w:hAnsi="Times New Roman" w:cs="Times New Roman"/>
          <w:color w:val="000000" w:themeColor="text1"/>
          <w:sz w:val="26"/>
          <w:szCs w:val="26"/>
          <w:lang w:val="vi-VN"/>
        </w:rPr>
        <w:t>IV</w:t>
      </w:r>
      <w:r w:rsidRPr="00DA5C88">
        <w:rPr>
          <w:rFonts w:ascii="Times New Roman" w:hAnsi="Times New Roman" w:cs="Times New Roman"/>
          <w:color w:val="000000" w:themeColor="text1"/>
          <w:sz w:val="26"/>
          <w:szCs w:val="26"/>
          <w:lang w:val="vi-VN"/>
        </w:rPr>
        <w:t xml:space="preserve"> đã gây tiếng vang trong nước và quốc tế khi quy tụ được những doanh nhân dân tộc dẫn dắt</w:t>
      </w:r>
      <w:r w:rsidR="00D51D12" w:rsidRPr="00DA5C88">
        <w:rPr>
          <w:rFonts w:ascii="Times New Roman" w:hAnsi="Times New Roman" w:cs="Times New Roman"/>
          <w:color w:val="000000" w:themeColor="text1"/>
          <w:sz w:val="26"/>
          <w:szCs w:val="26"/>
          <w:lang w:val="vi-VN"/>
        </w:rPr>
        <w:t>, tiêu biểu của nhiều ngành/lĩnh vực</w:t>
      </w:r>
      <w:r w:rsidRPr="00DA5C88">
        <w:rPr>
          <w:rFonts w:ascii="Times New Roman" w:hAnsi="Times New Roman" w:cs="Times New Roman"/>
          <w:color w:val="000000" w:themeColor="text1"/>
          <w:sz w:val="26"/>
          <w:szCs w:val="26"/>
          <w:lang w:val="vi-VN"/>
        </w:rPr>
        <w:t xml:space="preserve"> </w:t>
      </w:r>
      <w:r w:rsidR="00D51D12" w:rsidRPr="00DA5C88">
        <w:rPr>
          <w:rFonts w:ascii="Times New Roman" w:hAnsi="Times New Roman" w:cs="Times New Roman"/>
          <w:color w:val="000000" w:themeColor="text1"/>
          <w:sz w:val="26"/>
          <w:szCs w:val="26"/>
          <w:lang w:val="vi-VN"/>
        </w:rPr>
        <w:t>cùng hệ sinh thái</w:t>
      </w:r>
      <w:r w:rsidRPr="00DA5C88">
        <w:rPr>
          <w:rFonts w:ascii="Times New Roman" w:hAnsi="Times New Roman" w:cs="Times New Roman"/>
          <w:color w:val="000000" w:themeColor="text1"/>
          <w:sz w:val="26"/>
          <w:szCs w:val="26"/>
          <w:lang w:val="vi-VN"/>
        </w:rPr>
        <w:t xml:space="preserve"> nhiều doanh nghiệp nhỏ và vừa trong các nhóm ngành của nền kinh tế.</w:t>
      </w:r>
      <w:r w:rsidR="00D51D12" w:rsidRPr="00DA5C88">
        <w:rPr>
          <w:rFonts w:ascii="Times New Roman" w:hAnsi="Times New Roman" w:cs="Times New Roman"/>
          <w:color w:val="000000" w:themeColor="text1"/>
          <w:sz w:val="26"/>
          <w:szCs w:val="26"/>
          <w:lang w:val="vi-VN"/>
        </w:rPr>
        <w:t xml:space="preserve"> Từ ViPEL, hàng loạt sáng kiến hợp tác công - tư, hợp tác giữa doanh nghiệp dẫn dắt với các doanh nghiệp SME, Startup... đã được công bố.</w:t>
      </w:r>
      <w:r w:rsidRPr="00DA5C88">
        <w:rPr>
          <w:rFonts w:ascii="Times New Roman" w:hAnsi="Times New Roman" w:cs="Times New Roman"/>
          <w:color w:val="000000" w:themeColor="text1"/>
          <w:sz w:val="26"/>
          <w:szCs w:val="26"/>
          <w:lang w:val="vi-VN"/>
        </w:rPr>
        <w:t xml:space="preserve"> </w:t>
      </w:r>
      <w:r w:rsidR="00665F0C" w:rsidRPr="00DA5C88">
        <w:rPr>
          <w:rFonts w:ascii="Times New Roman" w:hAnsi="Times New Roman" w:cs="Times New Roman"/>
          <w:color w:val="000000" w:themeColor="text1"/>
          <w:sz w:val="26"/>
          <w:szCs w:val="26"/>
          <w:lang w:val="vi-VN"/>
        </w:rPr>
        <w:t>Các c</w:t>
      </w:r>
      <w:r w:rsidRPr="00DA5C88">
        <w:rPr>
          <w:rFonts w:ascii="Times New Roman" w:hAnsi="Times New Roman" w:cs="Times New Roman"/>
          <w:color w:val="000000" w:themeColor="text1"/>
          <w:sz w:val="26"/>
          <w:szCs w:val="26"/>
          <w:lang w:val="vi-VN"/>
        </w:rPr>
        <w:t>hỉ đạo của Thủ tướng tại sự kiện đã tạo ra niềm tin rất lớn đối với cộng đồng doanh nghiệp.</w:t>
      </w:r>
    </w:p>
    <w:p w14:paraId="62DBECB4" w14:textId="1A0BB545" w:rsidR="004054A0" w:rsidRPr="00DA5C88" w:rsidRDefault="00D51D12" w:rsidP="00890D38">
      <w:pPr>
        <w:spacing w:line="360" w:lineRule="auto"/>
        <w:ind w:firstLine="709"/>
        <w:jc w:val="both"/>
        <w:rPr>
          <w:rFonts w:ascii="Times New Roman" w:hAnsi="Times New Roman" w:cs="Times New Roman"/>
          <w:color w:val="000000" w:themeColor="text1"/>
          <w:sz w:val="26"/>
          <w:szCs w:val="26"/>
          <w:lang w:val="vi-VN"/>
        </w:rPr>
      </w:pPr>
      <w:r w:rsidRPr="00DA5C88">
        <w:rPr>
          <w:rFonts w:ascii="Times New Roman" w:hAnsi="Times New Roman" w:cs="Times New Roman"/>
          <w:color w:val="000000" w:themeColor="text1"/>
          <w:sz w:val="26"/>
          <w:szCs w:val="26"/>
          <w:lang w:val="vi-VN"/>
        </w:rPr>
        <w:t>N</w:t>
      </w:r>
      <w:r w:rsidR="004054A0" w:rsidRPr="00DA5C88">
        <w:rPr>
          <w:rFonts w:ascii="Times New Roman" w:hAnsi="Times New Roman" w:cs="Times New Roman"/>
          <w:color w:val="000000" w:themeColor="text1"/>
          <w:sz w:val="26"/>
          <w:szCs w:val="26"/>
          <w:lang w:val="vi-VN"/>
        </w:rPr>
        <w:t>hiều chương trình, diễn đàn, hội thảo khác cũng đã được tổ chức</w:t>
      </w:r>
      <w:r w:rsidRPr="00DA5C88">
        <w:rPr>
          <w:rFonts w:ascii="Times New Roman" w:hAnsi="Times New Roman" w:cs="Times New Roman"/>
          <w:color w:val="000000" w:themeColor="text1"/>
          <w:sz w:val="26"/>
          <w:szCs w:val="26"/>
          <w:lang w:val="vi-VN"/>
        </w:rPr>
        <w:t>,</w:t>
      </w:r>
      <w:r w:rsidR="004054A0" w:rsidRPr="00DA5C88">
        <w:rPr>
          <w:rFonts w:ascii="Times New Roman" w:hAnsi="Times New Roman" w:cs="Times New Roman"/>
          <w:color w:val="000000" w:themeColor="text1"/>
          <w:sz w:val="26"/>
          <w:szCs w:val="26"/>
          <w:lang w:val="vi-VN"/>
        </w:rPr>
        <w:t xml:space="preserve"> thu hút sự tham gia của đông đảo doanh nghiệp, doanh nhân,</w:t>
      </w:r>
      <w:r w:rsidRPr="00DA5C88">
        <w:rPr>
          <w:rFonts w:ascii="Times New Roman" w:hAnsi="Times New Roman" w:cs="Times New Roman"/>
          <w:color w:val="000000" w:themeColor="text1"/>
          <w:sz w:val="26"/>
          <w:szCs w:val="26"/>
          <w:lang w:val="vi-VN"/>
        </w:rPr>
        <w:t xml:space="preserve"> thúc </w:t>
      </w:r>
      <w:r w:rsidR="00405DD0" w:rsidRPr="00DA5C88">
        <w:rPr>
          <w:rFonts w:ascii="Times New Roman" w:hAnsi="Times New Roman" w:cs="Times New Roman"/>
          <w:color w:val="000000" w:themeColor="text1"/>
          <w:sz w:val="26"/>
          <w:szCs w:val="26"/>
          <w:lang w:val="vi-VN"/>
        </w:rPr>
        <w:t>đ</w:t>
      </w:r>
      <w:r w:rsidRPr="00DA5C88">
        <w:rPr>
          <w:rFonts w:ascii="Times New Roman" w:hAnsi="Times New Roman" w:cs="Times New Roman"/>
          <w:color w:val="000000" w:themeColor="text1"/>
          <w:sz w:val="26"/>
          <w:szCs w:val="26"/>
          <w:lang w:val="vi-VN"/>
        </w:rPr>
        <w:t>ẩy bầu không khí đối thoại cởi mở,</w:t>
      </w:r>
      <w:r w:rsidR="004054A0" w:rsidRPr="00DA5C88">
        <w:rPr>
          <w:rFonts w:ascii="Times New Roman" w:hAnsi="Times New Roman" w:cs="Times New Roman"/>
          <w:color w:val="000000" w:themeColor="text1"/>
          <w:sz w:val="26"/>
          <w:szCs w:val="26"/>
          <w:lang w:val="vi-VN"/>
        </w:rPr>
        <w:t xml:space="preserve"> góp phần tạo không khí phấn khởi trong thực thi 68-NQ/TW như Diễn đàn kinh tế tư nhân của Hội doanh nhân trẻ Việt Nam; Diễn đàn New Economy của Thời báo Vneconomy...</w:t>
      </w:r>
    </w:p>
    <w:p w14:paraId="731DCEEA" w14:textId="655CA99A" w:rsidR="00DC2ACD" w:rsidRPr="00DA5C88" w:rsidRDefault="00763569" w:rsidP="00890D38">
      <w:pPr>
        <w:spacing w:line="360" w:lineRule="auto"/>
        <w:ind w:firstLine="709"/>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en-US"/>
        </w:rPr>
        <w:t>N</w:t>
      </w:r>
      <w:r w:rsidR="004054A0" w:rsidRPr="00DA5C88">
        <w:rPr>
          <w:rFonts w:ascii="Times New Roman" w:hAnsi="Times New Roman" w:cs="Times New Roman"/>
          <w:color w:val="000000" w:themeColor="text1"/>
          <w:sz w:val="26"/>
          <w:szCs w:val="26"/>
          <w:lang w:val="vi-VN"/>
        </w:rPr>
        <w:t>hiều chương trình trụ cột của Nghị quyết 68</w:t>
      </w:r>
      <w:r w:rsidR="00D51D12" w:rsidRPr="00DA5C88">
        <w:rPr>
          <w:rFonts w:ascii="Times New Roman" w:hAnsi="Times New Roman" w:cs="Times New Roman"/>
          <w:color w:val="000000" w:themeColor="text1"/>
          <w:sz w:val="26"/>
          <w:szCs w:val="26"/>
          <w:lang w:val="vi-VN"/>
        </w:rPr>
        <w:t xml:space="preserve"> cũng</w:t>
      </w:r>
      <w:r w:rsidR="004054A0" w:rsidRPr="00DA5C88">
        <w:rPr>
          <w:rFonts w:ascii="Times New Roman" w:hAnsi="Times New Roman" w:cs="Times New Roman"/>
          <w:color w:val="000000" w:themeColor="text1"/>
          <w:sz w:val="26"/>
          <w:szCs w:val="26"/>
          <w:lang w:val="vi-VN"/>
        </w:rPr>
        <w:t xml:space="preserve"> đang được triển khai, lấy ý kiến doanh nghiệp một cách thực chất </w:t>
      </w:r>
      <w:r w:rsidR="00CC3E6E" w:rsidRPr="00DA5C88">
        <w:rPr>
          <w:rFonts w:ascii="Times New Roman" w:hAnsi="Times New Roman" w:cs="Times New Roman"/>
          <w:color w:val="000000" w:themeColor="text1"/>
          <w:sz w:val="26"/>
          <w:szCs w:val="26"/>
          <w:lang w:val="vi-VN"/>
        </w:rPr>
        <w:t>như chương trình 1000 doanh nghiệp tiên phong; chương trình đạo tạo 10.000 CEO; chương trình hỗ trợ doanh nghiệp</w:t>
      </w:r>
      <w:r w:rsidR="000949E9" w:rsidRPr="00DA5C88">
        <w:rPr>
          <w:rFonts w:ascii="Times New Roman" w:hAnsi="Times New Roman" w:cs="Times New Roman"/>
          <w:color w:val="000000" w:themeColor="text1"/>
          <w:sz w:val="26"/>
          <w:szCs w:val="26"/>
          <w:lang w:val="vi-VN"/>
        </w:rPr>
        <w:t xml:space="preserve"> </w:t>
      </w:r>
      <w:r w:rsidR="00CC3E6E" w:rsidRPr="00DA5C88">
        <w:rPr>
          <w:rFonts w:ascii="Times New Roman" w:hAnsi="Times New Roman" w:cs="Times New Roman"/>
          <w:color w:val="000000" w:themeColor="text1"/>
          <w:sz w:val="26"/>
          <w:szCs w:val="26"/>
          <w:lang w:val="vi-VN"/>
        </w:rPr>
        <w:t>Go Global</w:t>
      </w:r>
      <w:r w:rsidR="00DC2ACD" w:rsidRPr="00DA5C88">
        <w:rPr>
          <w:rFonts w:ascii="Times New Roman" w:hAnsi="Times New Roman" w:cs="Times New Roman"/>
          <w:color w:val="000000" w:themeColor="text1"/>
          <w:sz w:val="26"/>
          <w:szCs w:val="26"/>
          <w:lang w:val="vi-VN"/>
        </w:rPr>
        <w:t>.</w:t>
      </w:r>
    </w:p>
    <w:p w14:paraId="4EDA5D2F" w14:textId="391A6A79" w:rsidR="00281416" w:rsidRPr="00DA5C88" w:rsidRDefault="00281416" w:rsidP="00890D38">
      <w:pPr>
        <w:spacing w:line="360" w:lineRule="auto"/>
        <w:ind w:firstLine="709"/>
        <w:jc w:val="both"/>
        <w:rPr>
          <w:rFonts w:ascii="Times New Roman" w:hAnsi="Times New Roman" w:cs="Times New Roman"/>
          <w:color w:val="000000" w:themeColor="text1"/>
          <w:sz w:val="26"/>
          <w:szCs w:val="26"/>
          <w:lang w:val="vi-VN"/>
        </w:rPr>
      </w:pPr>
      <w:r w:rsidRPr="00DA5C88">
        <w:rPr>
          <w:rFonts w:ascii="Times New Roman" w:hAnsi="Times New Roman" w:cs="Times New Roman"/>
          <w:color w:val="000000" w:themeColor="text1"/>
          <w:sz w:val="26"/>
          <w:szCs w:val="26"/>
          <w:lang w:val="vi-VN"/>
        </w:rPr>
        <w:t>Để tiếp nối tinh thần tích cực nêu trên, các Hiệp hội doanh nghiệp cũng đề xuất Lãnh đạo Chính phủ, các bộ ngành địa phương tiếp tục quan tâm đẩy mạnh các cải cách thực chất, các chương trình kiến tạo cơ hội tiếp cận nguồn lực cụ thể để nuôi dưỡng và phát triển doanh nghiệp hiệu quả.</w:t>
      </w:r>
    </w:p>
    <w:p w14:paraId="0252CD47" w14:textId="039E66B3" w:rsidR="00281416" w:rsidRPr="00DA5C88" w:rsidRDefault="00281416" w:rsidP="00890D38">
      <w:pPr>
        <w:spacing w:line="360" w:lineRule="auto"/>
        <w:ind w:firstLine="709"/>
        <w:jc w:val="both"/>
        <w:rPr>
          <w:rFonts w:ascii="Times New Roman" w:hAnsi="Times New Roman" w:cs="Times New Roman"/>
          <w:b/>
          <w:bCs/>
          <w:color w:val="000000" w:themeColor="text1"/>
          <w:sz w:val="26"/>
          <w:szCs w:val="26"/>
          <w:lang w:val="vi-VN"/>
        </w:rPr>
      </w:pPr>
      <w:r w:rsidRPr="00DA5C88">
        <w:rPr>
          <w:rFonts w:ascii="Times New Roman" w:hAnsi="Times New Roman" w:cs="Times New Roman"/>
          <w:b/>
          <w:bCs/>
          <w:color w:val="000000" w:themeColor="text1"/>
          <w:sz w:val="26"/>
          <w:szCs w:val="26"/>
          <w:lang w:val="vi-VN"/>
        </w:rPr>
        <w:lastRenderedPageBreak/>
        <w:t>3. Đề xuất của Ban IV</w:t>
      </w:r>
    </w:p>
    <w:p w14:paraId="415026BC" w14:textId="7B1C49C2" w:rsidR="00F50420" w:rsidRPr="00DA5C88" w:rsidRDefault="004560B6" w:rsidP="00890D38">
      <w:pPr>
        <w:spacing w:line="360" w:lineRule="auto"/>
        <w:ind w:firstLine="709"/>
        <w:jc w:val="both"/>
        <w:rPr>
          <w:rFonts w:ascii="Times New Roman" w:eastAsia="Times New Roman" w:hAnsi="Times New Roman" w:cs="Times New Roman"/>
          <w:b/>
          <w:sz w:val="26"/>
          <w:szCs w:val="26"/>
          <w:lang w:val="vi-VN"/>
        </w:rPr>
      </w:pPr>
      <w:r w:rsidRPr="00DA5C88">
        <w:rPr>
          <w:rFonts w:ascii="Times New Roman" w:hAnsi="Times New Roman" w:cs="Times New Roman"/>
          <w:color w:val="000000" w:themeColor="text1"/>
          <w:sz w:val="26"/>
          <w:szCs w:val="26"/>
          <w:lang w:val="vi-VN"/>
        </w:rPr>
        <w:t>Từ các phản ánh và thông tin của cộng đồng doanh nghiệp</w:t>
      </w:r>
      <w:r w:rsidR="008800A7" w:rsidRPr="00DA5C88">
        <w:rPr>
          <w:rFonts w:ascii="Times New Roman" w:hAnsi="Times New Roman" w:cs="Times New Roman"/>
          <w:color w:val="000000" w:themeColor="text1"/>
          <w:sz w:val="26"/>
          <w:szCs w:val="26"/>
          <w:lang w:val="vi-VN"/>
        </w:rPr>
        <w:t xml:space="preserve"> trong tháng 10</w:t>
      </w:r>
      <w:r w:rsidR="00593BB1" w:rsidRPr="00DA5C88">
        <w:rPr>
          <w:rFonts w:ascii="Times New Roman" w:eastAsia="Times New Roman" w:hAnsi="Times New Roman" w:cs="Times New Roman"/>
          <w:sz w:val="26"/>
          <w:szCs w:val="26"/>
          <w:lang w:val="vi-VN"/>
        </w:rPr>
        <w:t>,</w:t>
      </w:r>
      <w:r w:rsidR="00B25625" w:rsidRPr="00DA5C88">
        <w:rPr>
          <w:rFonts w:ascii="Times New Roman" w:eastAsia="Times New Roman" w:hAnsi="Times New Roman" w:cs="Times New Roman"/>
          <w:sz w:val="26"/>
          <w:szCs w:val="26"/>
          <w:lang w:val="vi-VN"/>
        </w:rPr>
        <w:t xml:space="preserve">                   </w:t>
      </w:r>
      <w:r w:rsidR="00593BB1" w:rsidRPr="00DA5C88">
        <w:rPr>
          <w:rFonts w:ascii="Times New Roman" w:eastAsia="Times New Roman" w:hAnsi="Times New Roman" w:cs="Times New Roman"/>
          <w:sz w:val="26"/>
          <w:szCs w:val="26"/>
          <w:lang w:val="vi-VN"/>
        </w:rPr>
        <w:t xml:space="preserve"> Ban IV kính đề nghị Thủ tướng Chính phủ xem xét, chỉ đạo các Bộ, ngành </w:t>
      </w:r>
      <w:r w:rsidRPr="00DA5C88">
        <w:rPr>
          <w:rFonts w:ascii="Times New Roman" w:eastAsia="Times New Roman" w:hAnsi="Times New Roman" w:cs="Times New Roman"/>
          <w:sz w:val="26"/>
          <w:szCs w:val="26"/>
          <w:lang w:val="vi-VN"/>
        </w:rPr>
        <w:t xml:space="preserve">tiếp tục </w:t>
      </w:r>
      <w:r w:rsidR="00B25625" w:rsidRPr="00DA5C88">
        <w:rPr>
          <w:rFonts w:ascii="Times New Roman" w:eastAsia="Times New Roman" w:hAnsi="Times New Roman" w:cs="Times New Roman"/>
          <w:sz w:val="26"/>
          <w:szCs w:val="26"/>
          <w:lang w:val="vi-VN"/>
        </w:rPr>
        <w:t xml:space="preserve">                </w:t>
      </w:r>
      <w:r w:rsidR="00593BB1" w:rsidRPr="00DA5C88">
        <w:rPr>
          <w:rFonts w:ascii="Times New Roman" w:eastAsia="Times New Roman" w:hAnsi="Times New Roman" w:cs="Times New Roman"/>
          <w:sz w:val="26"/>
          <w:szCs w:val="26"/>
          <w:lang w:val="vi-VN"/>
        </w:rPr>
        <w:t xml:space="preserve">thực hiện </w:t>
      </w:r>
      <w:r w:rsidRPr="00DA5C88">
        <w:rPr>
          <w:rFonts w:ascii="Times New Roman" w:eastAsia="Times New Roman" w:hAnsi="Times New Roman" w:cs="Times New Roman"/>
          <w:sz w:val="26"/>
          <w:szCs w:val="26"/>
          <w:lang w:val="vi-VN"/>
        </w:rPr>
        <w:t>một số nhóm giải pháp</w:t>
      </w:r>
      <w:r w:rsidR="00593BB1" w:rsidRPr="00DA5C88">
        <w:rPr>
          <w:rFonts w:ascii="Times New Roman" w:eastAsia="Times New Roman" w:hAnsi="Times New Roman" w:cs="Times New Roman"/>
          <w:sz w:val="26"/>
          <w:szCs w:val="26"/>
          <w:lang w:val="vi-VN"/>
        </w:rPr>
        <w:t>:</w:t>
      </w:r>
    </w:p>
    <w:p w14:paraId="3751E2D3" w14:textId="0658E34D" w:rsidR="004217C0" w:rsidRPr="00AC5FD6" w:rsidRDefault="004560B6" w:rsidP="00890D38">
      <w:pPr>
        <w:spacing w:line="360" w:lineRule="auto"/>
        <w:ind w:firstLine="709"/>
        <w:jc w:val="both"/>
        <w:rPr>
          <w:rFonts w:ascii="Times New Roman" w:eastAsia="Times New Roman" w:hAnsi="Times New Roman" w:cs="Times New Roman"/>
          <w:sz w:val="26"/>
          <w:szCs w:val="26"/>
          <w:lang w:val="en-US"/>
        </w:rPr>
      </w:pPr>
      <w:r w:rsidRPr="00DA5C88">
        <w:rPr>
          <w:rFonts w:ascii="Times New Roman" w:eastAsia="Times New Roman" w:hAnsi="Times New Roman" w:cs="Times New Roman"/>
          <w:sz w:val="26"/>
          <w:szCs w:val="26"/>
          <w:lang w:val="vi-VN"/>
        </w:rPr>
        <w:t xml:space="preserve">(i) </w:t>
      </w:r>
      <w:r w:rsidR="00CC3E6E" w:rsidRPr="00DA5C88">
        <w:rPr>
          <w:rFonts w:ascii="Times New Roman" w:eastAsia="Times New Roman" w:hAnsi="Times New Roman" w:cs="Times New Roman"/>
          <w:sz w:val="26"/>
          <w:szCs w:val="26"/>
          <w:lang w:val="vi-VN"/>
        </w:rPr>
        <w:t>Rà soát</w:t>
      </w:r>
      <w:r w:rsidRPr="00DA5C88">
        <w:rPr>
          <w:rFonts w:ascii="Times New Roman" w:eastAsia="Times New Roman" w:hAnsi="Times New Roman" w:cs="Times New Roman"/>
          <w:sz w:val="26"/>
          <w:szCs w:val="26"/>
          <w:lang w:val="vi-VN"/>
        </w:rPr>
        <w:t xml:space="preserve"> và cải cách</w:t>
      </w:r>
      <w:r w:rsidR="00CC3E6E" w:rsidRPr="00DA5C88">
        <w:rPr>
          <w:rFonts w:ascii="Times New Roman" w:eastAsia="Times New Roman" w:hAnsi="Times New Roman" w:cs="Times New Roman"/>
          <w:sz w:val="26"/>
          <w:szCs w:val="26"/>
          <w:lang w:val="vi-VN"/>
        </w:rPr>
        <w:t xml:space="preserve"> các thủ tục hành chính</w:t>
      </w:r>
      <w:r w:rsidRPr="00DA5C88">
        <w:rPr>
          <w:rFonts w:ascii="Times New Roman" w:eastAsia="Times New Roman" w:hAnsi="Times New Roman" w:cs="Times New Roman"/>
          <w:sz w:val="26"/>
          <w:szCs w:val="26"/>
          <w:lang w:val="vi-VN"/>
        </w:rPr>
        <w:t xml:space="preserve"> </w:t>
      </w:r>
      <w:r w:rsidRPr="00DA5C88">
        <w:rPr>
          <w:rFonts w:ascii="Times New Roman" w:eastAsia="Times New Roman" w:hAnsi="Times New Roman" w:cs="Times New Roman"/>
          <w:b/>
          <w:bCs/>
          <w:sz w:val="26"/>
          <w:szCs w:val="26"/>
          <w:lang w:val="vi-VN"/>
        </w:rPr>
        <w:t>theo chuyên đề</w:t>
      </w:r>
      <w:r w:rsidRPr="00DA5C88">
        <w:rPr>
          <w:rFonts w:ascii="Times New Roman" w:eastAsia="Times New Roman" w:hAnsi="Times New Roman" w:cs="Times New Roman"/>
          <w:sz w:val="26"/>
          <w:szCs w:val="26"/>
          <w:lang w:val="vi-VN"/>
        </w:rPr>
        <w:t xml:space="preserve"> để tạo hiệu ứng cho các lĩnh vực, nhất là các lĩnh vực ưu tiên trong bối </w:t>
      </w:r>
      <w:r w:rsidR="008800A7" w:rsidRPr="00DA5C88">
        <w:rPr>
          <w:rFonts w:ascii="Times New Roman" w:eastAsia="Times New Roman" w:hAnsi="Times New Roman" w:cs="Times New Roman"/>
          <w:sz w:val="26"/>
          <w:szCs w:val="26"/>
          <w:lang w:val="vi-VN"/>
        </w:rPr>
        <w:t>c</w:t>
      </w:r>
      <w:r w:rsidRPr="00DA5C88">
        <w:rPr>
          <w:rFonts w:ascii="Times New Roman" w:eastAsia="Times New Roman" w:hAnsi="Times New Roman" w:cs="Times New Roman"/>
          <w:sz w:val="26"/>
          <w:szCs w:val="26"/>
          <w:lang w:val="vi-VN"/>
        </w:rPr>
        <w:t>ảnh hiện nay: ví dụ, chuyên đề thu hút đầu tư và đầu tư khu công nghiệp (như nội hàm báo cáo tháng 9 của Ban IV),</w:t>
      </w:r>
      <w:r w:rsidR="00CC3E6E" w:rsidRPr="00DA5C88">
        <w:rPr>
          <w:rFonts w:ascii="Times New Roman" w:eastAsia="Times New Roman" w:hAnsi="Times New Roman" w:cs="Times New Roman"/>
          <w:sz w:val="26"/>
          <w:szCs w:val="26"/>
          <w:lang w:val="vi-VN"/>
        </w:rPr>
        <w:t xml:space="preserve"> </w:t>
      </w:r>
      <w:r w:rsidR="008800A7" w:rsidRPr="00DA5C88">
        <w:rPr>
          <w:rFonts w:ascii="Times New Roman" w:eastAsia="Times New Roman" w:hAnsi="Times New Roman" w:cs="Times New Roman"/>
          <w:sz w:val="26"/>
          <w:szCs w:val="26"/>
          <w:lang w:val="vi-VN"/>
        </w:rPr>
        <w:t>chuyên đề phát triển</w:t>
      </w:r>
      <w:r w:rsidR="00CC3E6E" w:rsidRPr="00DA5C88">
        <w:rPr>
          <w:rFonts w:ascii="Times New Roman" w:eastAsia="Times New Roman" w:hAnsi="Times New Roman" w:cs="Times New Roman"/>
          <w:sz w:val="26"/>
          <w:szCs w:val="26"/>
          <w:lang w:val="vi-VN"/>
        </w:rPr>
        <w:t xml:space="preserve"> logistic</w:t>
      </w:r>
      <w:r w:rsidR="00B25625" w:rsidRPr="00DA5C88">
        <w:rPr>
          <w:rFonts w:ascii="Times New Roman" w:eastAsia="Times New Roman" w:hAnsi="Times New Roman" w:cs="Times New Roman"/>
          <w:sz w:val="26"/>
          <w:szCs w:val="26"/>
          <w:lang w:val="vi-VN"/>
        </w:rPr>
        <w:t>s</w:t>
      </w:r>
      <w:r w:rsidR="00CC3E6E" w:rsidRPr="00DA5C88">
        <w:rPr>
          <w:rFonts w:ascii="Times New Roman" w:eastAsia="Times New Roman" w:hAnsi="Times New Roman" w:cs="Times New Roman"/>
          <w:sz w:val="26"/>
          <w:szCs w:val="26"/>
          <w:lang w:val="vi-VN"/>
        </w:rPr>
        <w:t xml:space="preserve"> và</w:t>
      </w:r>
      <w:r w:rsidR="008800A7" w:rsidRPr="00DA5C88">
        <w:rPr>
          <w:rFonts w:ascii="Times New Roman" w:eastAsia="Times New Roman" w:hAnsi="Times New Roman" w:cs="Times New Roman"/>
          <w:sz w:val="26"/>
          <w:szCs w:val="26"/>
          <w:lang w:val="vi-VN"/>
        </w:rPr>
        <w:t xml:space="preserve"> tạo thuận lợi</w:t>
      </w:r>
      <w:r w:rsidR="00CC3E6E" w:rsidRPr="00DA5C88">
        <w:rPr>
          <w:rFonts w:ascii="Times New Roman" w:eastAsia="Times New Roman" w:hAnsi="Times New Roman" w:cs="Times New Roman"/>
          <w:sz w:val="26"/>
          <w:szCs w:val="26"/>
          <w:lang w:val="vi-VN"/>
        </w:rPr>
        <w:t xml:space="preserve"> xuất nhập khẩu</w:t>
      </w:r>
      <w:r w:rsidR="008800A7" w:rsidRPr="00DA5C88">
        <w:rPr>
          <w:rFonts w:ascii="Times New Roman" w:eastAsia="Times New Roman" w:hAnsi="Times New Roman" w:cs="Times New Roman"/>
          <w:sz w:val="26"/>
          <w:szCs w:val="26"/>
          <w:lang w:val="vi-VN"/>
        </w:rPr>
        <w:t>;</w:t>
      </w:r>
      <w:r w:rsidR="00CC3E6E" w:rsidRPr="00DA5C88">
        <w:rPr>
          <w:rFonts w:ascii="Times New Roman" w:eastAsia="Times New Roman" w:hAnsi="Times New Roman" w:cs="Times New Roman"/>
          <w:sz w:val="26"/>
          <w:szCs w:val="26"/>
          <w:lang w:val="vi-VN"/>
        </w:rPr>
        <w:t xml:space="preserve"> </w:t>
      </w:r>
      <w:r w:rsidR="008800A7" w:rsidRPr="00DA5C88">
        <w:rPr>
          <w:rFonts w:ascii="Times New Roman" w:eastAsia="Times New Roman" w:hAnsi="Times New Roman" w:cs="Times New Roman"/>
          <w:sz w:val="26"/>
          <w:szCs w:val="26"/>
          <w:lang w:val="vi-VN"/>
        </w:rPr>
        <w:t xml:space="preserve">chuyên đề tạo thuận lợi và </w:t>
      </w:r>
      <w:r w:rsidR="00CC3E6E" w:rsidRPr="00DA5C88">
        <w:rPr>
          <w:rFonts w:ascii="Times New Roman" w:eastAsia="Times New Roman" w:hAnsi="Times New Roman" w:cs="Times New Roman"/>
          <w:sz w:val="26"/>
          <w:szCs w:val="26"/>
          <w:lang w:val="vi-VN"/>
        </w:rPr>
        <w:t>đẩy mạnh hoàn thuế</w:t>
      </w:r>
      <w:r w:rsidR="008800A7" w:rsidRPr="00DA5C88">
        <w:rPr>
          <w:rFonts w:ascii="Times New Roman" w:eastAsia="Times New Roman" w:hAnsi="Times New Roman" w:cs="Times New Roman"/>
          <w:sz w:val="26"/>
          <w:szCs w:val="26"/>
          <w:lang w:val="vi-VN"/>
        </w:rPr>
        <w:t xml:space="preserve"> để tăng sức cạnh tranh</w:t>
      </w:r>
      <w:r w:rsidR="00CC3E6E" w:rsidRPr="00DA5C88">
        <w:rPr>
          <w:rFonts w:ascii="Times New Roman" w:eastAsia="Times New Roman" w:hAnsi="Times New Roman" w:cs="Times New Roman"/>
          <w:sz w:val="26"/>
          <w:szCs w:val="26"/>
          <w:lang w:val="vi-VN"/>
        </w:rPr>
        <w:t xml:space="preserve"> cho doanh nghiệp</w:t>
      </w:r>
      <w:r w:rsidR="004217C0" w:rsidRPr="00DA5C88">
        <w:rPr>
          <w:rFonts w:ascii="Times New Roman" w:eastAsia="Times New Roman" w:hAnsi="Times New Roman" w:cs="Times New Roman"/>
          <w:sz w:val="26"/>
          <w:szCs w:val="26"/>
          <w:lang w:val="vi-VN"/>
        </w:rPr>
        <w:t xml:space="preserve"> trong bối cảnh thương mại toàn cầu bất ổn</w:t>
      </w:r>
      <w:r w:rsidR="00AC5FD6">
        <w:rPr>
          <w:rFonts w:ascii="Times New Roman" w:eastAsia="Times New Roman" w:hAnsi="Times New Roman" w:cs="Times New Roman"/>
          <w:sz w:val="26"/>
          <w:szCs w:val="26"/>
          <w:lang w:val="vi-VN"/>
        </w:rPr>
        <w:t>…</w:t>
      </w:r>
    </w:p>
    <w:p w14:paraId="59414DD3" w14:textId="55CCD3FA" w:rsidR="00CC3E6E" w:rsidRPr="00DA5C88" w:rsidRDefault="004217C0" w:rsidP="00890D38">
      <w:pPr>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w:t>
      </w:r>
      <w:r w:rsidR="008800A7" w:rsidRPr="00DA5C88">
        <w:rPr>
          <w:rFonts w:ascii="Times New Roman" w:eastAsia="Times New Roman" w:hAnsi="Times New Roman" w:cs="Times New Roman"/>
          <w:sz w:val="26"/>
          <w:szCs w:val="26"/>
          <w:lang w:val="vi-VN"/>
        </w:rPr>
        <w:t>ii) Trên cơ sở</w:t>
      </w:r>
      <w:r w:rsidR="00AE06E1" w:rsidRPr="00DA5C88">
        <w:rPr>
          <w:rFonts w:ascii="Times New Roman" w:eastAsia="Times New Roman" w:hAnsi="Times New Roman" w:cs="Times New Roman"/>
          <w:sz w:val="26"/>
          <w:szCs w:val="26"/>
          <w:lang w:val="vi-VN"/>
        </w:rPr>
        <w:t xml:space="preserve"> Tuyên bố chung Việt Nam</w:t>
      </w:r>
      <w:r w:rsidR="003D284D" w:rsidRPr="00DA5C88">
        <w:rPr>
          <w:rFonts w:ascii="Times New Roman" w:eastAsia="Times New Roman" w:hAnsi="Times New Roman" w:cs="Times New Roman"/>
          <w:sz w:val="26"/>
          <w:szCs w:val="26"/>
          <w:lang w:val="vi-VN"/>
        </w:rPr>
        <w:t xml:space="preserve"> </w:t>
      </w:r>
      <w:r w:rsidR="00AE06E1" w:rsidRPr="00DA5C88">
        <w:rPr>
          <w:rFonts w:ascii="Times New Roman" w:eastAsia="Times New Roman" w:hAnsi="Times New Roman" w:cs="Times New Roman"/>
          <w:sz w:val="26"/>
          <w:szCs w:val="26"/>
          <w:lang w:val="vi-VN"/>
        </w:rPr>
        <w:t>- Hoa kỳ về Khuôn khổ Hiệp định Thương mại đối ứng, công bằng và cân bằng, được Tổng thống Donal Trump và Thủ tướng Chính phủ Phạm Minh Chính cùng công bố ngày 26/10/2025 vừa qua tại Kuala Lumpur (Malaysia),</w:t>
      </w:r>
      <w:r w:rsidR="008800A7" w:rsidRPr="00DA5C88">
        <w:rPr>
          <w:rFonts w:ascii="Times New Roman" w:eastAsia="Times New Roman" w:hAnsi="Times New Roman" w:cs="Times New Roman"/>
          <w:sz w:val="26"/>
          <w:szCs w:val="26"/>
          <w:lang w:val="vi-VN"/>
        </w:rPr>
        <w:t xml:space="preserve"> </w:t>
      </w:r>
      <w:r w:rsidR="00AE06E1" w:rsidRPr="00DA5C88">
        <w:rPr>
          <w:rFonts w:ascii="Times New Roman" w:eastAsia="Times New Roman" w:hAnsi="Times New Roman" w:cs="Times New Roman"/>
          <w:sz w:val="26"/>
          <w:szCs w:val="26"/>
          <w:lang w:val="vi-VN"/>
        </w:rPr>
        <w:t xml:space="preserve">đề xuất Chính phủ giao Bộ Công thương có các chương trình làm việc và trao đổi </w:t>
      </w:r>
      <w:r w:rsidR="00CC3E6E" w:rsidRPr="00DA5C88">
        <w:rPr>
          <w:rFonts w:ascii="Times New Roman" w:eastAsia="Times New Roman" w:hAnsi="Times New Roman" w:cs="Times New Roman"/>
          <w:sz w:val="26"/>
          <w:szCs w:val="26"/>
          <w:lang w:val="vi-VN"/>
        </w:rPr>
        <w:t xml:space="preserve">thông tin </w:t>
      </w:r>
      <w:r w:rsidR="00AE06E1" w:rsidRPr="00DA5C88">
        <w:rPr>
          <w:rFonts w:ascii="Times New Roman" w:eastAsia="Times New Roman" w:hAnsi="Times New Roman" w:cs="Times New Roman"/>
          <w:sz w:val="26"/>
          <w:szCs w:val="26"/>
          <w:lang w:val="vi-VN"/>
        </w:rPr>
        <w:t xml:space="preserve">chủ động - đối với các thông tin phù hợp để công bố công khai </w:t>
      </w:r>
      <w:r w:rsidR="00CC3E6E" w:rsidRPr="00DA5C88">
        <w:rPr>
          <w:rFonts w:ascii="Times New Roman" w:eastAsia="Times New Roman" w:hAnsi="Times New Roman" w:cs="Times New Roman"/>
          <w:sz w:val="26"/>
          <w:szCs w:val="26"/>
          <w:lang w:val="vi-VN"/>
        </w:rPr>
        <w:t xml:space="preserve">về các cuộc đàm phán thương mại với Hoa Kỳ, </w:t>
      </w:r>
      <w:r w:rsidR="00AE06E1" w:rsidRPr="00DA5C88">
        <w:rPr>
          <w:rFonts w:ascii="Times New Roman" w:eastAsia="Times New Roman" w:hAnsi="Times New Roman" w:cs="Times New Roman"/>
          <w:sz w:val="26"/>
          <w:szCs w:val="26"/>
          <w:lang w:val="vi-VN"/>
        </w:rPr>
        <w:t>các vấn đề cần sự lưu ý và phối hợp công - tư theo từng ngành hàng</w:t>
      </w:r>
      <w:r w:rsidR="00AC5FD6">
        <w:rPr>
          <w:rFonts w:ascii="Times New Roman" w:eastAsia="Times New Roman" w:hAnsi="Times New Roman" w:cs="Times New Roman"/>
          <w:sz w:val="26"/>
          <w:szCs w:val="26"/>
          <w:lang w:val="en-US"/>
        </w:rPr>
        <w:t xml:space="preserve"> -</w:t>
      </w:r>
      <w:r w:rsidR="00AE06E1" w:rsidRPr="00DA5C88">
        <w:rPr>
          <w:rFonts w:ascii="Times New Roman" w:eastAsia="Times New Roman" w:hAnsi="Times New Roman" w:cs="Times New Roman"/>
          <w:sz w:val="26"/>
          <w:szCs w:val="26"/>
          <w:lang w:val="vi-VN"/>
        </w:rPr>
        <w:t xml:space="preserve"> để </w:t>
      </w:r>
      <w:r w:rsidR="00CC3E6E" w:rsidRPr="00DA5C88">
        <w:rPr>
          <w:rFonts w:ascii="Times New Roman" w:eastAsia="Times New Roman" w:hAnsi="Times New Roman" w:cs="Times New Roman"/>
          <w:sz w:val="26"/>
          <w:szCs w:val="26"/>
          <w:lang w:val="vi-VN"/>
        </w:rPr>
        <w:t xml:space="preserve">doanh nghiệp </w:t>
      </w:r>
      <w:r w:rsidR="00AE06E1" w:rsidRPr="00DA5C88">
        <w:rPr>
          <w:rFonts w:ascii="Times New Roman" w:eastAsia="Times New Roman" w:hAnsi="Times New Roman" w:cs="Times New Roman"/>
          <w:sz w:val="26"/>
          <w:szCs w:val="26"/>
          <w:lang w:val="vi-VN"/>
        </w:rPr>
        <w:t xml:space="preserve">có thể xây được </w:t>
      </w:r>
      <w:r w:rsidR="00CC3E6E" w:rsidRPr="00DA5C88">
        <w:rPr>
          <w:rFonts w:ascii="Times New Roman" w:eastAsia="Times New Roman" w:hAnsi="Times New Roman" w:cs="Times New Roman"/>
          <w:sz w:val="26"/>
          <w:szCs w:val="26"/>
          <w:lang w:val="vi-VN"/>
        </w:rPr>
        <w:t xml:space="preserve">các giải pháp </w:t>
      </w:r>
      <w:r w:rsidR="00AC5FD6">
        <w:rPr>
          <w:rFonts w:ascii="Times New Roman" w:eastAsia="Times New Roman" w:hAnsi="Times New Roman" w:cs="Times New Roman"/>
          <w:sz w:val="26"/>
          <w:szCs w:val="26"/>
          <w:lang w:val="en-US"/>
        </w:rPr>
        <w:t>nhằm</w:t>
      </w:r>
      <w:r w:rsidR="00400686" w:rsidRPr="00DA5C88">
        <w:rPr>
          <w:rFonts w:ascii="Times New Roman" w:eastAsia="Times New Roman" w:hAnsi="Times New Roman" w:cs="Times New Roman"/>
          <w:sz w:val="26"/>
          <w:szCs w:val="26"/>
          <w:lang w:val="vi-VN"/>
        </w:rPr>
        <w:t xml:space="preserve"> giữ và </w:t>
      </w:r>
      <w:r w:rsidR="00AE06E1" w:rsidRPr="00DA5C88">
        <w:rPr>
          <w:rFonts w:ascii="Times New Roman" w:eastAsia="Times New Roman" w:hAnsi="Times New Roman" w:cs="Times New Roman"/>
          <w:sz w:val="26"/>
          <w:szCs w:val="26"/>
          <w:lang w:val="vi-VN"/>
        </w:rPr>
        <w:t xml:space="preserve">gia tăng </w:t>
      </w:r>
      <w:r w:rsidR="00CC3E6E" w:rsidRPr="00DA5C88">
        <w:rPr>
          <w:rFonts w:ascii="Times New Roman" w:eastAsia="Times New Roman" w:hAnsi="Times New Roman" w:cs="Times New Roman"/>
          <w:sz w:val="26"/>
          <w:szCs w:val="26"/>
          <w:lang w:val="vi-VN"/>
        </w:rPr>
        <w:t xml:space="preserve">khả năng cạnh tranh của hàng hóa Việt ở thị trường Hoa Kỳ. </w:t>
      </w:r>
      <w:r w:rsidR="00AE06E1" w:rsidRPr="00DA5C88">
        <w:rPr>
          <w:rFonts w:ascii="Times New Roman" w:eastAsia="Times New Roman" w:hAnsi="Times New Roman" w:cs="Times New Roman"/>
          <w:sz w:val="26"/>
          <w:szCs w:val="26"/>
          <w:lang w:val="vi-VN"/>
        </w:rPr>
        <w:t xml:space="preserve">Đồng thời, </w:t>
      </w:r>
      <w:r w:rsidR="00316E10" w:rsidRPr="00DA5C88">
        <w:rPr>
          <w:rFonts w:ascii="Times New Roman" w:eastAsia="Times New Roman" w:hAnsi="Times New Roman" w:cs="Times New Roman"/>
          <w:sz w:val="26"/>
          <w:szCs w:val="26"/>
          <w:lang w:val="vi-VN"/>
        </w:rPr>
        <w:t xml:space="preserve">             </w:t>
      </w:r>
      <w:r w:rsidR="00AE06E1" w:rsidRPr="00DA5C88">
        <w:rPr>
          <w:rFonts w:ascii="Times New Roman" w:eastAsia="Times New Roman" w:hAnsi="Times New Roman" w:cs="Times New Roman"/>
          <w:sz w:val="26"/>
          <w:szCs w:val="26"/>
          <w:lang w:val="vi-VN"/>
        </w:rPr>
        <w:t>Bộ Công thương có thể phối hợp với các Bộ, ngành liên quan rà soát, xây dựng các giải pháp tổng thể hỗ trợ các ngành xuất - nhập khẩu chính đối phó với các biện pháp phòng vệ thương mại từ các quốc gia khác, và xem xét điều chỉnh chính sách thuế xuất khẩu phù hợp cho các mặt hàng này trong nước.</w:t>
      </w:r>
    </w:p>
    <w:p w14:paraId="5EEA2819" w14:textId="06EE9B95" w:rsidR="00F50420" w:rsidRPr="00DA5C88" w:rsidRDefault="00AE06E1" w:rsidP="00890D38">
      <w:pPr>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(iii) Từ nhận định của doanh nghiệp về việc</w:t>
      </w:r>
      <w:r w:rsidR="00CC3E6E" w:rsidRPr="00DA5C88">
        <w:rPr>
          <w:rFonts w:ascii="Times New Roman" w:eastAsia="Times New Roman" w:hAnsi="Times New Roman" w:cs="Times New Roman"/>
          <w:sz w:val="26"/>
          <w:szCs w:val="26"/>
          <w:lang w:val="vi-VN"/>
        </w:rPr>
        <w:t xml:space="preserve"> </w:t>
      </w:r>
      <w:r w:rsidRPr="00DA5C88">
        <w:rPr>
          <w:rFonts w:ascii="Times New Roman" w:eastAsia="Times New Roman" w:hAnsi="Times New Roman" w:cs="Times New Roman"/>
          <w:sz w:val="26"/>
          <w:szCs w:val="26"/>
          <w:lang w:val="vi-VN"/>
        </w:rPr>
        <w:t>p</w:t>
      </w:r>
      <w:r w:rsidR="00CC3E6E" w:rsidRPr="00DA5C88">
        <w:rPr>
          <w:rFonts w:ascii="Times New Roman" w:eastAsia="Times New Roman" w:hAnsi="Times New Roman" w:cs="Times New Roman"/>
          <w:sz w:val="26"/>
          <w:szCs w:val="26"/>
          <w:lang w:val="vi-VN"/>
        </w:rPr>
        <w:t>hát triển logistic</w:t>
      </w:r>
      <w:r w:rsidR="00A02973" w:rsidRPr="00DA5C88">
        <w:rPr>
          <w:rFonts w:ascii="Times New Roman" w:eastAsia="Times New Roman" w:hAnsi="Times New Roman" w:cs="Times New Roman"/>
          <w:sz w:val="26"/>
          <w:szCs w:val="26"/>
          <w:lang w:val="vi-VN"/>
        </w:rPr>
        <w:t xml:space="preserve">s </w:t>
      </w:r>
      <w:r w:rsidR="001D4C7E" w:rsidRPr="00DA5C88">
        <w:rPr>
          <w:rFonts w:ascii="Times New Roman" w:eastAsia="Times New Roman" w:hAnsi="Times New Roman" w:cs="Times New Roman"/>
          <w:sz w:val="26"/>
          <w:szCs w:val="26"/>
          <w:lang w:val="vi-VN"/>
        </w:rPr>
        <w:t>- hàng hải</w:t>
      </w:r>
      <w:r w:rsidR="00CC3E6E" w:rsidRPr="00DA5C88">
        <w:rPr>
          <w:rFonts w:ascii="Times New Roman" w:eastAsia="Times New Roman" w:hAnsi="Times New Roman" w:cs="Times New Roman"/>
          <w:sz w:val="26"/>
          <w:szCs w:val="26"/>
          <w:lang w:val="vi-VN"/>
        </w:rPr>
        <w:t xml:space="preserve"> </w:t>
      </w:r>
      <w:r w:rsidR="00A02973" w:rsidRPr="00DA5C88">
        <w:rPr>
          <w:rFonts w:ascii="Times New Roman" w:eastAsia="Times New Roman" w:hAnsi="Times New Roman" w:cs="Times New Roman"/>
          <w:sz w:val="26"/>
          <w:szCs w:val="26"/>
          <w:lang w:val="vi-VN"/>
        </w:rPr>
        <w:t xml:space="preserve">             </w:t>
      </w:r>
      <w:r w:rsidR="00CC3E6E" w:rsidRPr="00DA5C88">
        <w:rPr>
          <w:rFonts w:ascii="Times New Roman" w:eastAsia="Times New Roman" w:hAnsi="Times New Roman" w:cs="Times New Roman"/>
          <w:sz w:val="26"/>
          <w:szCs w:val="26"/>
          <w:lang w:val="vi-VN"/>
        </w:rPr>
        <w:t>Việt Nam</w:t>
      </w:r>
      <w:r w:rsidR="001D4C7E" w:rsidRPr="00DA5C88">
        <w:rPr>
          <w:rFonts w:ascii="Times New Roman" w:eastAsia="Times New Roman" w:hAnsi="Times New Roman" w:cs="Times New Roman"/>
          <w:sz w:val="26"/>
          <w:szCs w:val="26"/>
          <w:lang w:val="vi-VN"/>
        </w:rPr>
        <w:t xml:space="preserve"> còn dưới xa mức tiềm năng, trên cơ sở tinh thần “công - tư đồng kiến quốc” mà Thủ tướng Chính phủ đã trực tiếp lắng nghe, ghi nhận, biểu dương tại Toàn cảnh Kinh tế tư nhân Việt Nam lần thứ nhất, </w:t>
      </w:r>
      <w:r w:rsidR="003E0746" w:rsidRPr="00DA5C88">
        <w:rPr>
          <w:rFonts w:ascii="Times New Roman" w:eastAsia="Times New Roman" w:hAnsi="Times New Roman" w:cs="Times New Roman"/>
          <w:sz w:val="26"/>
          <w:szCs w:val="26"/>
          <w:lang w:val="vi-VN"/>
        </w:rPr>
        <w:t xml:space="preserve">Ban IV đề xuất Thủ tướng chỉ đạo cách làm mới có tính chất </w:t>
      </w:r>
      <w:r w:rsidR="003E0746" w:rsidRPr="00DA5C88">
        <w:rPr>
          <w:rFonts w:ascii="Times New Roman" w:eastAsia="Times New Roman" w:hAnsi="Times New Roman" w:cs="Times New Roman"/>
          <w:b/>
          <w:bCs/>
          <w:sz w:val="26"/>
          <w:szCs w:val="26"/>
          <w:lang w:val="vi-VN"/>
        </w:rPr>
        <w:t>công - tư phối hợp chặt chẽ trong việc xây dựng một số</w:t>
      </w:r>
      <w:r w:rsidR="003E0746" w:rsidRPr="00DA5C88">
        <w:rPr>
          <w:rFonts w:ascii="Times New Roman" w:eastAsia="Times New Roman" w:hAnsi="Times New Roman" w:cs="Times New Roman"/>
          <w:sz w:val="26"/>
          <w:szCs w:val="26"/>
          <w:lang w:val="vi-VN"/>
        </w:rPr>
        <w:t xml:space="preserve"> </w:t>
      </w:r>
      <w:r w:rsidR="003E0746" w:rsidRPr="00DA5C88">
        <w:rPr>
          <w:rFonts w:ascii="Times New Roman" w:eastAsia="Times New Roman" w:hAnsi="Times New Roman" w:cs="Times New Roman"/>
          <w:b/>
          <w:bCs/>
          <w:sz w:val="26"/>
          <w:szCs w:val="26"/>
          <w:lang w:val="vi-VN"/>
        </w:rPr>
        <w:t xml:space="preserve">chiến lược, chương trình “thực chiến” </w:t>
      </w:r>
      <w:r w:rsidR="003E0746" w:rsidRPr="00DA5C88">
        <w:rPr>
          <w:rFonts w:ascii="Times New Roman" w:eastAsia="Times New Roman" w:hAnsi="Times New Roman" w:cs="Times New Roman"/>
          <w:sz w:val="26"/>
          <w:szCs w:val="26"/>
          <w:lang w:val="vi-VN"/>
        </w:rPr>
        <w:t>để gia tăng sức cạnh tranh cho lĩnh vực hàng hải - logistics Việt Nam. Việc này có thể gợi mở cách làm hiệu quả cho nhiều lĩnh vực khác. Cụ thể: Bộ Xây dựng có thể cùng UBND Thành phố Hồ Chí Minh và các doanh nghiệp dẫn dắt, hiệp hội doanh nghiệp liên quan</w:t>
      </w:r>
      <w:r w:rsidR="00CC3E6E" w:rsidRPr="00DA5C88">
        <w:rPr>
          <w:rFonts w:ascii="Times New Roman" w:eastAsia="Times New Roman" w:hAnsi="Times New Roman" w:cs="Times New Roman"/>
          <w:sz w:val="26"/>
          <w:szCs w:val="26"/>
          <w:lang w:val="vi-VN"/>
        </w:rPr>
        <w:t xml:space="preserve"> xây dựng</w:t>
      </w:r>
      <w:r w:rsidR="003E0746" w:rsidRPr="00DA5C88">
        <w:rPr>
          <w:rFonts w:ascii="Times New Roman" w:eastAsia="Times New Roman" w:hAnsi="Times New Roman" w:cs="Times New Roman"/>
          <w:sz w:val="26"/>
          <w:szCs w:val="26"/>
          <w:lang w:val="vi-VN"/>
        </w:rPr>
        <w:t xml:space="preserve"> Chiến lược phát triển</w:t>
      </w:r>
      <w:r w:rsidR="00CC3E6E" w:rsidRPr="00DA5C88">
        <w:rPr>
          <w:rFonts w:ascii="Times New Roman" w:eastAsia="Times New Roman" w:hAnsi="Times New Roman" w:cs="Times New Roman"/>
          <w:sz w:val="26"/>
          <w:szCs w:val="26"/>
          <w:lang w:val="vi-VN"/>
        </w:rPr>
        <w:t xml:space="preserve"> Trung tâm Hàng hải quốc tế tại </w:t>
      </w:r>
      <w:r w:rsidR="003E0746" w:rsidRPr="00DA5C88">
        <w:rPr>
          <w:rFonts w:ascii="Times New Roman" w:eastAsia="Times New Roman" w:hAnsi="Times New Roman" w:cs="Times New Roman"/>
          <w:sz w:val="26"/>
          <w:szCs w:val="26"/>
          <w:lang w:val="vi-VN"/>
        </w:rPr>
        <w:t xml:space="preserve">Thành phố Hồ Chí Minh; hay Chiến lược phát triển vận tải thủy nội địa để </w:t>
      </w:r>
      <w:r w:rsidR="003E0746" w:rsidRPr="00DA5C88">
        <w:rPr>
          <w:rFonts w:ascii="Times New Roman" w:eastAsia="Times New Roman" w:hAnsi="Times New Roman" w:cs="Times New Roman"/>
          <w:sz w:val="26"/>
          <w:szCs w:val="26"/>
          <w:lang w:val="vi-VN"/>
        </w:rPr>
        <w:lastRenderedPageBreak/>
        <w:t>tối ưu chi phí logistics cho Việt Nam và thí điểm triển khai đầu tư ở một số tỉnh, thành phố điển hình như Hải Phòng, Thành phố Hồ Chí Minh.</w:t>
      </w:r>
      <w:r w:rsidR="00CC3E6E" w:rsidRPr="00DA5C88">
        <w:rPr>
          <w:rFonts w:ascii="Times New Roman" w:eastAsia="Times New Roman" w:hAnsi="Times New Roman" w:cs="Times New Roman"/>
          <w:sz w:val="26"/>
          <w:szCs w:val="26"/>
          <w:lang w:val="vi-VN"/>
        </w:rPr>
        <w:t xml:space="preserve"> </w:t>
      </w:r>
    </w:p>
    <w:p w14:paraId="640A13B2" w14:textId="7649FDF9" w:rsidR="006A74A6" w:rsidRPr="00DA5C88" w:rsidRDefault="006A74A6" w:rsidP="00890D38">
      <w:pPr>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(iv)</w:t>
      </w:r>
      <w:r w:rsidR="00665F0C" w:rsidRPr="00DA5C88">
        <w:rPr>
          <w:rFonts w:ascii="Times New Roman" w:eastAsia="Times New Roman" w:hAnsi="Times New Roman" w:cs="Times New Roman"/>
          <w:sz w:val="26"/>
          <w:szCs w:val="26"/>
          <w:lang w:val="vi-VN"/>
        </w:rPr>
        <w:t xml:space="preserve"> </w:t>
      </w:r>
      <w:r w:rsidR="00F44857" w:rsidRPr="00DA5C88">
        <w:rPr>
          <w:rFonts w:ascii="Times New Roman" w:eastAsia="Times New Roman" w:hAnsi="Times New Roman" w:cs="Times New Roman"/>
          <w:sz w:val="26"/>
          <w:szCs w:val="26"/>
          <w:lang w:val="vi-VN"/>
        </w:rPr>
        <w:t>Thủ tướng Chính phủ chỉ đạo các Bộ, địa phương duy trì sự cởi mở và cầu thị, lắng nghe trong đối thoại công - tư; đặc biệt trong bối cảnh có nhiều sự thay đổi về cơ chế, chính sách và quy trình thủ tục theo tinh thần các Nghị quyết trụ cột của Bộ Chính trị và bối cảnh xây dựng chính quyền địa phương 2 cấp. Có những vấn đề các bộ, địa phương đang triển khai nếu tạo sự đồng thuận của doanh nghiệp hoặc hài hòa với nguyện vọng của doanh nghiệp thì quá trình thực thi sẽ hiệu quả</w:t>
      </w:r>
      <w:r w:rsidR="000600E9" w:rsidRPr="00DA5C88">
        <w:rPr>
          <w:rFonts w:ascii="Times New Roman" w:eastAsia="Times New Roman" w:hAnsi="Times New Roman" w:cs="Times New Roman"/>
          <w:sz w:val="26"/>
          <w:szCs w:val="26"/>
          <w:lang w:val="vi-VN"/>
        </w:rPr>
        <w:t xml:space="preserve"> và hạn chế các phản ánh, kiến nghị vượt cấp</w:t>
      </w:r>
      <w:r w:rsidR="00F44857" w:rsidRPr="00DA5C88">
        <w:rPr>
          <w:rFonts w:ascii="Times New Roman" w:eastAsia="Times New Roman" w:hAnsi="Times New Roman" w:cs="Times New Roman"/>
          <w:sz w:val="26"/>
          <w:szCs w:val="26"/>
          <w:lang w:val="vi-VN"/>
        </w:rPr>
        <w:t>. Ví dụ: kế hoạch mở rộng thu phí cửa khẩu cảng biển của Thành phố Hồ Chí Minh</w:t>
      </w:r>
      <w:r w:rsidR="007C5678" w:rsidRPr="00DA5C88">
        <w:rPr>
          <w:rFonts w:ascii="Times New Roman" w:eastAsia="Times New Roman" w:hAnsi="Times New Roman" w:cs="Times New Roman"/>
          <w:sz w:val="26"/>
          <w:szCs w:val="26"/>
          <w:lang w:val="vi-VN"/>
        </w:rPr>
        <w:t xml:space="preserve"> (mới)</w:t>
      </w:r>
      <w:r w:rsidR="00F44857" w:rsidRPr="00DA5C88">
        <w:rPr>
          <w:rFonts w:ascii="Times New Roman" w:eastAsia="Times New Roman" w:hAnsi="Times New Roman" w:cs="Times New Roman"/>
          <w:sz w:val="26"/>
          <w:szCs w:val="26"/>
          <w:lang w:val="vi-VN"/>
        </w:rPr>
        <w:t xml:space="preserve"> đối với doanh nghiệp các tỉnh Bà Rịa Vũng Tàu và Bình Dương (cũ)</w:t>
      </w:r>
      <w:r w:rsidR="007C5678" w:rsidRPr="00DA5C88">
        <w:rPr>
          <w:rFonts w:ascii="Times New Roman" w:eastAsia="Times New Roman" w:hAnsi="Times New Roman" w:cs="Times New Roman"/>
          <w:sz w:val="26"/>
          <w:szCs w:val="26"/>
          <w:lang w:val="vi-VN"/>
        </w:rPr>
        <w:t xml:space="preserve">, hiện đang có rất nhiều luồng ý kiến phản ứng trái chiều, cần sớm có đối thoại thực chất công </w:t>
      </w:r>
      <w:r w:rsidR="00AC5FD6">
        <w:rPr>
          <w:rFonts w:ascii="Times New Roman" w:eastAsia="Times New Roman" w:hAnsi="Times New Roman" w:cs="Times New Roman"/>
          <w:sz w:val="26"/>
          <w:szCs w:val="26"/>
          <w:lang w:val="en-US"/>
        </w:rPr>
        <w:t>-</w:t>
      </w:r>
      <w:r w:rsidR="007C5678" w:rsidRPr="00DA5C88">
        <w:rPr>
          <w:rFonts w:ascii="Times New Roman" w:eastAsia="Times New Roman" w:hAnsi="Times New Roman" w:cs="Times New Roman"/>
          <w:sz w:val="26"/>
          <w:szCs w:val="26"/>
          <w:lang w:val="vi-VN"/>
        </w:rPr>
        <w:t xml:space="preserve"> tư</w:t>
      </w:r>
      <w:r w:rsidR="00400686" w:rsidRPr="00DA5C88">
        <w:rPr>
          <w:rFonts w:ascii="Times New Roman" w:eastAsia="Times New Roman" w:hAnsi="Times New Roman" w:cs="Times New Roman"/>
          <w:sz w:val="26"/>
          <w:szCs w:val="26"/>
          <w:lang w:val="vi-VN"/>
        </w:rPr>
        <w:t xml:space="preserve"> </w:t>
      </w:r>
      <w:r w:rsidR="00400686" w:rsidRPr="00DA5C88">
        <w:rPr>
          <w:rFonts w:ascii="Times New Roman" w:eastAsia="Times New Roman" w:hAnsi="Times New Roman" w:cs="Times New Roman"/>
          <w:b/>
          <w:bCs/>
          <w:sz w:val="26"/>
          <w:szCs w:val="26"/>
          <w:lang w:val="vi-VN"/>
        </w:rPr>
        <w:t>(</w:t>
      </w:r>
      <w:r w:rsidR="00AC5FD6">
        <w:rPr>
          <w:rFonts w:ascii="Times New Roman" w:eastAsia="Times New Roman" w:hAnsi="Times New Roman" w:cs="Times New Roman"/>
          <w:b/>
          <w:bCs/>
          <w:sz w:val="26"/>
          <w:szCs w:val="26"/>
          <w:lang w:val="en-US"/>
        </w:rPr>
        <w:t xml:space="preserve">Chi tiết </w:t>
      </w:r>
      <w:r w:rsidR="00400686" w:rsidRPr="00DA5C88">
        <w:rPr>
          <w:rFonts w:ascii="Times New Roman" w:eastAsia="Times New Roman" w:hAnsi="Times New Roman" w:cs="Times New Roman"/>
          <w:b/>
          <w:bCs/>
          <w:sz w:val="26"/>
          <w:szCs w:val="26"/>
          <w:lang w:val="vi-VN"/>
        </w:rPr>
        <w:t xml:space="preserve">ở phụ lục </w:t>
      </w:r>
      <w:r w:rsidR="0072016C">
        <w:rPr>
          <w:rFonts w:ascii="Times New Roman" w:eastAsia="Times New Roman" w:hAnsi="Times New Roman" w:cs="Times New Roman"/>
          <w:b/>
          <w:bCs/>
          <w:sz w:val="26"/>
          <w:szCs w:val="26"/>
          <w:lang w:val="en-US"/>
        </w:rPr>
        <w:t>3</w:t>
      </w:r>
      <w:r w:rsidR="00400686" w:rsidRPr="00DA5C88">
        <w:rPr>
          <w:rFonts w:ascii="Times New Roman" w:eastAsia="Times New Roman" w:hAnsi="Times New Roman" w:cs="Times New Roman"/>
          <w:b/>
          <w:bCs/>
          <w:sz w:val="26"/>
          <w:szCs w:val="26"/>
          <w:lang w:val="vi-VN"/>
        </w:rPr>
        <w:t>)</w:t>
      </w:r>
      <w:r w:rsidR="00F2650F" w:rsidRPr="00DA5C88">
        <w:rPr>
          <w:rFonts w:ascii="Times New Roman" w:eastAsia="Times New Roman" w:hAnsi="Times New Roman" w:cs="Times New Roman"/>
          <w:b/>
          <w:bCs/>
          <w:sz w:val="26"/>
          <w:szCs w:val="26"/>
          <w:lang w:val="vi-VN"/>
        </w:rPr>
        <w:t>.</w:t>
      </w:r>
    </w:p>
    <w:p w14:paraId="08F58055" w14:textId="77777777" w:rsidR="00F50420" w:rsidRPr="00DA5C88" w:rsidRDefault="00593BB1" w:rsidP="00890D38">
      <w:pPr>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 xml:space="preserve">Ban IV và cộng đồng doanh nghiệp rất mong nhận được sự quan tâm, chỉ đạo của Thủ tướng Chính phủ. </w:t>
      </w:r>
    </w:p>
    <w:p w14:paraId="4D48E185" w14:textId="77777777" w:rsidR="00F50420" w:rsidRPr="00DA5C88" w:rsidRDefault="00593BB1" w:rsidP="00890D38">
      <w:pPr>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 xml:space="preserve">Trân trọng./. </w:t>
      </w:r>
    </w:p>
    <w:p w14:paraId="00007E57" w14:textId="77777777" w:rsidR="00F50420" w:rsidRPr="00DA5C88" w:rsidRDefault="00F50420" w:rsidP="005806DB">
      <w:pPr>
        <w:ind w:firstLine="567"/>
        <w:jc w:val="both"/>
        <w:rPr>
          <w:rFonts w:ascii="Times New Roman" w:eastAsia="Times New Roman" w:hAnsi="Times New Roman" w:cs="Times New Roman"/>
          <w:sz w:val="26"/>
          <w:szCs w:val="26"/>
          <w:lang w:val="vi-VN"/>
        </w:rPr>
      </w:pPr>
    </w:p>
    <w:tbl>
      <w:tblPr>
        <w:tblStyle w:val="a0"/>
        <w:tblW w:w="9899" w:type="dxa"/>
        <w:tblInd w:w="-142" w:type="dxa"/>
        <w:tblBorders>
          <w:insideH w:val="nil"/>
          <w:insideV w:val="nil"/>
        </w:tblBorders>
        <w:tblLayout w:type="fixed"/>
        <w:tblLook w:val="0400" w:firstRow="0" w:lastRow="0" w:firstColumn="0" w:lastColumn="0" w:noHBand="0" w:noVBand="1"/>
      </w:tblPr>
      <w:tblGrid>
        <w:gridCol w:w="3403"/>
        <w:gridCol w:w="6496"/>
      </w:tblGrid>
      <w:tr w:rsidR="00F50420" w:rsidRPr="00DA5C88" w14:paraId="1CF4E8C9" w14:textId="77777777">
        <w:trPr>
          <w:trHeight w:val="3768"/>
        </w:trPr>
        <w:tc>
          <w:tcPr>
            <w:tcW w:w="3403" w:type="dxa"/>
            <w:tcBorders>
              <w:top w:val="nil"/>
              <w:left w:val="nil"/>
              <w:bottom w:val="nil"/>
              <w:right w:val="nil"/>
            </w:tcBorders>
            <w:shd w:val="clear" w:color="auto" w:fill="FFFFFF"/>
          </w:tcPr>
          <w:p w14:paraId="2DFB8CF9" w14:textId="77777777" w:rsidR="00F50420" w:rsidRPr="00DA5C88" w:rsidRDefault="00593BB1" w:rsidP="005806DB">
            <w:pPr>
              <w:jc w:val="both"/>
              <w:rPr>
                <w:rFonts w:ascii="Times New Roman" w:eastAsia="Times New Roman" w:hAnsi="Times New Roman" w:cs="Times New Roman"/>
                <w:b/>
                <w:i/>
                <w:u w:val="single"/>
                <w:lang w:val="vi-VN"/>
              </w:rPr>
            </w:pPr>
            <w:r w:rsidRPr="00DA5C88">
              <w:rPr>
                <w:rFonts w:ascii="Times New Roman" w:eastAsia="Times New Roman" w:hAnsi="Times New Roman" w:cs="Times New Roman"/>
                <w:b/>
                <w:i/>
                <w:u w:val="single"/>
                <w:lang w:val="vi-VN"/>
              </w:rPr>
              <w:t xml:space="preserve">Nơi nhận:                                                                                 </w:t>
            </w:r>
          </w:p>
          <w:p w14:paraId="265BFD3C" w14:textId="77777777" w:rsidR="00F50420" w:rsidRPr="00DA5C88" w:rsidRDefault="00593BB1" w:rsidP="005806DB">
            <w:pPr>
              <w:spacing w:line="240" w:lineRule="auto"/>
              <w:jc w:val="both"/>
              <w:rPr>
                <w:rFonts w:ascii="Times New Roman" w:eastAsia="Times New Roman" w:hAnsi="Times New Roman" w:cs="Times New Roman"/>
                <w:lang w:val="vi-VN"/>
              </w:rPr>
            </w:pPr>
            <w:r w:rsidRPr="00DA5C88">
              <w:rPr>
                <w:rFonts w:ascii="Times New Roman" w:eastAsia="Times New Roman" w:hAnsi="Times New Roman" w:cs="Times New Roman"/>
                <w:lang w:val="vi-VN"/>
              </w:rPr>
              <w:t xml:space="preserve">- Như kính gửi; </w:t>
            </w:r>
          </w:p>
          <w:p w14:paraId="320EA0B8" w14:textId="77777777" w:rsidR="00F50420" w:rsidRPr="00DA5C88" w:rsidRDefault="00593BB1" w:rsidP="005806DB">
            <w:pPr>
              <w:spacing w:line="240" w:lineRule="auto"/>
              <w:jc w:val="both"/>
              <w:rPr>
                <w:rFonts w:ascii="Times New Roman" w:eastAsia="Times New Roman" w:hAnsi="Times New Roman" w:cs="Times New Roman"/>
                <w:lang w:val="vi-VN"/>
              </w:rPr>
            </w:pPr>
            <w:r w:rsidRPr="00DA5C88">
              <w:rPr>
                <w:rFonts w:ascii="Times New Roman" w:eastAsia="Times New Roman" w:hAnsi="Times New Roman" w:cs="Times New Roman"/>
                <w:lang w:val="vi-VN"/>
              </w:rPr>
              <w:t xml:space="preserve">- Phó TTgTTCP Nguyễn Hòa Bình, Phó TTgCP Nguyễn Chí Dũng (để b/c); </w:t>
            </w:r>
          </w:p>
          <w:p w14:paraId="763875FA" w14:textId="77777777" w:rsidR="00F50420" w:rsidRPr="00DA5C88" w:rsidRDefault="00593BB1" w:rsidP="005806DB">
            <w:pPr>
              <w:spacing w:line="240" w:lineRule="auto"/>
              <w:jc w:val="both"/>
              <w:rPr>
                <w:rFonts w:ascii="Times New Roman" w:eastAsia="Times New Roman" w:hAnsi="Times New Roman" w:cs="Times New Roman"/>
                <w:u w:val="single"/>
                <w:lang w:val="vi-VN"/>
              </w:rPr>
            </w:pPr>
            <w:r w:rsidRPr="00DA5C88">
              <w:rPr>
                <w:rFonts w:ascii="Times New Roman" w:eastAsia="Times New Roman" w:hAnsi="Times New Roman" w:cs="Times New Roman"/>
                <w:lang w:val="vi-VN"/>
              </w:rPr>
              <w:t xml:space="preserve">- VPCP: BTCN (để b/c); Phó CN Mai Thị Thu Vân (để b/c); Vụ ĐMDN (để p/h);  </w:t>
            </w:r>
          </w:p>
          <w:p w14:paraId="6F12EE6E" w14:textId="77777777" w:rsidR="00F50420" w:rsidRPr="00DA5C88" w:rsidRDefault="00593BB1" w:rsidP="005806DB">
            <w:pPr>
              <w:spacing w:line="240" w:lineRule="auto"/>
              <w:jc w:val="both"/>
              <w:rPr>
                <w:rFonts w:ascii="Times New Roman" w:eastAsia="Times New Roman" w:hAnsi="Times New Roman" w:cs="Times New Roman"/>
                <w:lang w:val="vi-VN"/>
              </w:rPr>
            </w:pPr>
            <w:r w:rsidRPr="00DA5C88">
              <w:rPr>
                <w:rFonts w:ascii="Times New Roman" w:eastAsia="Times New Roman" w:hAnsi="Times New Roman" w:cs="Times New Roman"/>
                <w:lang w:val="vi-VN"/>
              </w:rPr>
              <w:t>- HĐTV CC TTHC: Ban Thư kí Hội đồng (Cục KSTTHC - để biết);</w:t>
            </w:r>
          </w:p>
          <w:p w14:paraId="4451E07B" w14:textId="77777777" w:rsidR="00F50420" w:rsidRPr="00DA5C88" w:rsidRDefault="00593BB1" w:rsidP="005806DB">
            <w:pPr>
              <w:spacing w:line="240" w:lineRule="auto"/>
              <w:jc w:val="both"/>
              <w:rPr>
                <w:rFonts w:ascii="Times New Roman" w:eastAsia="Times New Roman" w:hAnsi="Times New Roman" w:cs="Times New Roman"/>
                <w:lang w:val="vi-VN"/>
              </w:rPr>
            </w:pPr>
            <w:r w:rsidRPr="00DA5C88">
              <w:rPr>
                <w:rFonts w:ascii="Times New Roman" w:eastAsia="Times New Roman" w:hAnsi="Times New Roman" w:cs="Times New Roman"/>
                <w:lang w:val="vi-VN"/>
              </w:rPr>
              <w:t xml:space="preserve">- Thành viên Ban IV;                                                                             </w:t>
            </w:r>
          </w:p>
          <w:p w14:paraId="141DA587" w14:textId="77777777" w:rsidR="00F50420" w:rsidRPr="00DA5C88" w:rsidRDefault="00593BB1" w:rsidP="005806DB">
            <w:pPr>
              <w:spacing w:line="240" w:lineRule="auto"/>
              <w:jc w:val="both"/>
              <w:rPr>
                <w:rFonts w:ascii="Times New Roman" w:eastAsia="Times New Roman" w:hAnsi="Times New Roman" w:cs="Times New Roman"/>
                <w:b/>
                <w:sz w:val="26"/>
                <w:szCs w:val="26"/>
                <w:lang w:val="vi-VN"/>
              </w:rPr>
            </w:pPr>
            <w:r w:rsidRPr="00DA5C88">
              <w:rPr>
                <w:rFonts w:ascii="Times New Roman" w:eastAsia="Times New Roman" w:hAnsi="Times New Roman" w:cs="Times New Roman"/>
                <w:lang w:val="vi-VN"/>
              </w:rPr>
              <w:t>- Lưu VP Ban, VP VINASA</w:t>
            </w:r>
            <w:r w:rsidRPr="00DA5C88">
              <w:rPr>
                <w:rFonts w:ascii="Times New Roman" w:eastAsia="Times New Roman" w:hAnsi="Times New Roman" w:cs="Times New Roman"/>
                <w:sz w:val="26"/>
                <w:szCs w:val="26"/>
                <w:lang w:val="vi-VN"/>
              </w:rPr>
              <w:t>.</w:t>
            </w:r>
          </w:p>
        </w:tc>
        <w:tc>
          <w:tcPr>
            <w:tcW w:w="6496" w:type="dxa"/>
            <w:tcBorders>
              <w:top w:val="nil"/>
              <w:left w:val="nil"/>
              <w:bottom w:val="nil"/>
              <w:right w:val="nil"/>
            </w:tcBorders>
            <w:shd w:val="clear" w:color="auto" w:fill="FFFFFF"/>
          </w:tcPr>
          <w:p w14:paraId="5063F386" w14:textId="77777777" w:rsidR="00F50420" w:rsidRPr="00DA5C88" w:rsidRDefault="00593BB1" w:rsidP="000B7100">
            <w:pPr>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TM. BAN NGHIÊN CỨU PHÁT TRIỂN KTTN</w:t>
            </w:r>
          </w:p>
          <w:p w14:paraId="25824076" w14:textId="77777777" w:rsidR="00F50420" w:rsidRPr="00DA5C88" w:rsidRDefault="00593BB1" w:rsidP="000B7100">
            <w:pPr>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TRƯỞNG BAN</w:t>
            </w:r>
          </w:p>
          <w:p w14:paraId="10EFAE1C" w14:textId="77777777" w:rsidR="00F50420" w:rsidRPr="00DA5C88" w:rsidRDefault="00F50420" w:rsidP="000B7100">
            <w:pPr>
              <w:jc w:val="center"/>
              <w:rPr>
                <w:rFonts w:ascii="Times New Roman" w:eastAsia="Times New Roman" w:hAnsi="Times New Roman" w:cs="Times New Roman"/>
                <w:b/>
                <w:sz w:val="26"/>
                <w:szCs w:val="26"/>
                <w:lang w:val="vi-VN"/>
              </w:rPr>
            </w:pPr>
          </w:p>
          <w:p w14:paraId="55F72756" w14:textId="77777777" w:rsidR="00F50420" w:rsidRPr="00DA5C88" w:rsidRDefault="00F50420" w:rsidP="000B7100">
            <w:pPr>
              <w:jc w:val="center"/>
              <w:rPr>
                <w:rFonts w:ascii="Times New Roman" w:eastAsia="Times New Roman" w:hAnsi="Times New Roman" w:cs="Times New Roman"/>
                <w:b/>
                <w:sz w:val="26"/>
                <w:szCs w:val="26"/>
                <w:lang w:val="vi-VN"/>
              </w:rPr>
            </w:pPr>
          </w:p>
          <w:p w14:paraId="05ACECCE" w14:textId="77777777" w:rsidR="00F50420" w:rsidRPr="00DA5C88" w:rsidRDefault="00F50420" w:rsidP="000B7100">
            <w:pPr>
              <w:jc w:val="center"/>
              <w:rPr>
                <w:rFonts w:ascii="Times New Roman" w:eastAsia="Times New Roman" w:hAnsi="Times New Roman" w:cs="Times New Roman"/>
                <w:b/>
                <w:sz w:val="26"/>
                <w:szCs w:val="26"/>
                <w:lang w:val="vi-VN"/>
              </w:rPr>
            </w:pPr>
          </w:p>
          <w:p w14:paraId="1B931461" w14:textId="77777777" w:rsidR="006F4868" w:rsidRPr="00DA5C88" w:rsidRDefault="006F4868" w:rsidP="000B7100">
            <w:pPr>
              <w:jc w:val="center"/>
              <w:rPr>
                <w:rFonts w:ascii="Times New Roman" w:eastAsia="Times New Roman" w:hAnsi="Times New Roman" w:cs="Times New Roman"/>
                <w:b/>
                <w:sz w:val="26"/>
                <w:szCs w:val="26"/>
                <w:lang w:val="vi-VN"/>
              </w:rPr>
            </w:pPr>
          </w:p>
          <w:p w14:paraId="280B5474" w14:textId="77777777" w:rsidR="006F4868" w:rsidRPr="00DA5C88" w:rsidRDefault="006F4868" w:rsidP="000B7100">
            <w:pPr>
              <w:jc w:val="center"/>
              <w:rPr>
                <w:rFonts w:ascii="Times New Roman" w:eastAsia="Times New Roman" w:hAnsi="Times New Roman" w:cs="Times New Roman"/>
                <w:b/>
                <w:sz w:val="26"/>
                <w:szCs w:val="26"/>
                <w:lang w:val="vi-VN"/>
              </w:rPr>
            </w:pPr>
          </w:p>
          <w:p w14:paraId="56055727" w14:textId="77777777" w:rsidR="00F50420" w:rsidRPr="00DA5C88" w:rsidRDefault="00593BB1" w:rsidP="000B7100">
            <w:pPr>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Trương Gia Bình</w:t>
            </w:r>
          </w:p>
          <w:p w14:paraId="25ED557A" w14:textId="77777777" w:rsidR="00F50420" w:rsidRPr="00DA5C88" w:rsidRDefault="00593BB1" w:rsidP="000B7100">
            <w:pPr>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i/>
                <w:sz w:val="26"/>
                <w:szCs w:val="26"/>
                <w:lang w:val="vi-VN"/>
              </w:rPr>
              <w:t>Chủ tịch Hội đồng sáng lập Hiệp hội Phần mềm và                Dịch vụ CNTT Việt Nam</w:t>
            </w:r>
          </w:p>
        </w:tc>
      </w:tr>
    </w:tbl>
    <w:p w14:paraId="7A933B16" w14:textId="77777777" w:rsidR="00F50420" w:rsidRPr="00DA5C88" w:rsidRDefault="00593BB1" w:rsidP="005806DB">
      <w:pPr>
        <w:spacing w:after="80"/>
        <w:jc w:val="both"/>
        <w:rPr>
          <w:rFonts w:ascii="Times New Roman" w:eastAsia="Times New Roman" w:hAnsi="Times New Roman" w:cs="Times New Roman"/>
          <w:sz w:val="26"/>
          <w:szCs w:val="26"/>
          <w:lang w:val="vi-VN"/>
        </w:rPr>
      </w:pPr>
      <w:r w:rsidRPr="00DA5C88">
        <w:rPr>
          <w:sz w:val="26"/>
          <w:szCs w:val="26"/>
          <w:lang w:val="vi-VN"/>
        </w:rPr>
        <w:br w:type="page"/>
      </w:r>
    </w:p>
    <w:p w14:paraId="1871F07F" w14:textId="36D6DA40" w:rsidR="00F50420" w:rsidRPr="00DA5C88" w:rsidRDefault="00593BB1" w:rsidP="00F377D1">
      <w:pPr>
        <w:spacing w:line="360" w:lineRule="auto"/>
        <w:jc w:val="center"/>
        <w:rPr>
          <w:rFonts w:ascii="Times New Roman" w:eastAsia="Times New Roman" w:hAnsi="Times New Roman" w:cs="Times New Roman"/>
          <w:i/>
          <w:sz w:val="24"/>
          <w:szCs w:val="24"/>
          <w:lang w:val="vi-VN"/>
        </w:rPr>
      </w:pPr>
      <w:bookmarkStart w:id="1" w:name="_epavrqiygt17" w:colFirst="0" w:colLast="0"/>
      <w:bookmarkEnd w:id="1"/>
      <w:r w:rsidRPr="00DA5C88">
        <w:rPr>
          <w:rFonts w:ascii="Times New Roman" w:eastAsia="Times New Roman" w:hAnsi="Times New Roman" w:cs="Times New Roman"/>
          <w:b/>
          <w:color w:val="000000"/>
          <w:sz w:val="24"/>
          <w:szCs w:val="24"/>
          <w:lang w:val="vi-VN"/>
        </w:rPr>
        <w:lastRenderedPageBreak/>
        <w:t xml:space="preserve">PHỤ LỤC 1. </w:t>
      </w:r>
      <w:r w:rsidR="00AE2741" w:rsidRPr="00DA5C88">
        <w:rPr>
          <w:rFonts w:ascii="Times New Roman" w:eastAsia="Times New Roman" w:hAnsi="Times New Roman" w:cs="Times New Roman"/>
          <w:b/>
          <w:color w:val="000000"/>
          <w:sz w:val="24"/>
          <w:szCs w:val="24"/>
          <w:lang w:val="vi-VN"/>
        </w:rPr>
        <w:t xml:space="preserve">TỔNG HỢP KIẾN NGHỊ CỦA DOANH NGHIỆP, HIỆP HỘI VỀ CÁC THÁCH THỨC </w:t>
      </w:r>
      <w:r w:rsidR="00AE2741" w:rsidRPr="00DA5C88">
        <w:rPr>
          <w:rFonts w:ascii="Times New Roman" w:eastAsia="Times New Roman" w:hAnsi="Times New Roman" w:cs="Times New Roman"/>
          <w:b/>
          <w:bCs/>
          <w:iCs/>
          <w:sz w:val="24"/>
          <w:szCs w:val="24"/>
          <w:lang w:val="vi-VN"/>
        </w:rPr>
        <w:t xml:space="preserve">TRONG LĨNH VỰC </w:t>
      </w:r>
      <w:r w:rsidR="0043247A" w:rsidRPr="00DA5C88">
        <w:rPr>
          <w:rFonts w:ascii="Times New Roman" w:eastAsia="Times New Roman" w:hAnsi="Times New Roman" w:cs="Times New Roman"/>
          <w:b/>
          <w:bCs/>
          <w:iCs/>
          <w:sz w:val="24"/>
          <w:szCs w:val="24"/>
          <w:lang w:val="vi-VN"/>
        </w:rPr>
        <w:t>LOGISTICS VÀ XUẤT NHẬP KHẨU</w:t>
      </w:r>
      <w:r w:rsidR="0043247A" w:rsidRPr="00DA5C88">
        <w:rPr>
          <w:rFonts w:ascii="Times New Roman" w:eastAsia="Times New Roman" w:hAnsi="Times New Roman" w:cs="Times New Roman"/>
          <w:i/>
          <w:sz w:val="24"/>
          <w:szCs w:val="24"/>
          <w:lang w:val="vi-VN"/>
        </w:rPr>
        <w:t xml:space="preserve"> </w:t>
      </w:r>
      <w:bookmarkStart w:id="2" w:name="_mzj519um7h8m" w:colFirst="0" w:colLast="0"/>
      <w:bookmarkStart w:id="3" w:name="_hbp71wtn3u03" w:colFirst="0" w:colLast="0"/>
      <w:bookmarkEnd w:id="2"/>
      <w:bookmarkEnd w:id="3"/>
    </w:p>
    <w:p w14:paraId="4DD1007D" w14:textId="77777777" w:rsidR="0043247A" w:rsidRPr="00DA5C88" w:rsidRDefault="0043247A" w:rsidP="0043247A">
      <w:pPr>
        <w:jc w:val="center"/>
        <w:rPr>
          <w:rFonts w:ascii="Times New Roman" w:eastAsia="Times New Roman" w:hAnsi="Times New Roman" w:cs="Times New Roman"/>
          <w:b/>
          <w:sz w:val="26"/>
          <w:szCs w:val="26"/>
          <w:lang w:val="vi-VN"/>
        </w:rPr>
      </w:pPr>
    </w:p>
    <w:p w14:paraId="6623EB03" w14:textId="5585608D" w:rsidR="00F50420" w:rsidRPr="00DA5C88" w:rsidRDefault="007D161C" w:rsidP="00890D38">
      <w:pPr>
        <w:widowControl w:val="0"/>
        <w:spacing w:line="360" w:lineRule="auto"/>
        <w:ind w:firstLine="709"/>
        <w:jc w:val="both"/>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1</w:t>
      </w:r>
      <w:r w:rsidR="00D86C48" w:rsidRPr="00DA5C88">
        <w:rPr>
          <w:rFonts w:ascii="Times New Roman" w:eastAsia="Times New Roman" w:hAnsi="Times New Roman" w:cs="Times New Roman"/>
          <w:b/>
          <w:sz w:val="26"/>
          <w:szCs w:val="26"/>
          <w:lang w:val="vi-VN"/>
        </w:rPr>
        <w:t xml:space="preserve">. </w:t>
      </w:r>
      <w:r w:rsidR="00593BB1" w:rsidRPr="00DA5C88">
        <w:rPr>
          <w:rFonts w:ascii="Times New Roman" w:eastAsia="Times New Roman" w:hAnsi="Times New Roman" w:cs="Times New Roman"/>
          <w:b/>
          <w:sz w:val="26"/>
          <w:szCs w:val="26"/>
          <w:lang w:val="vi-VN"/>
        </w:rPr>
        <w:t>Hệ thống vận tải thủy nội địa Việt Nam đang chịu sự mất cân đối lớn giữa tiềm năng và thực tế đóng góp</w:t>
      </w:r>
    </w:p>
    <w:p w14:paraId="0AFBB8BF" w14:textId="46BA77F8" w:rsidR="00F50420" w:rsidRPr="00DA5C88" w:rsidRDefault="007D161C" w:rsidP="00890D38">
      <w:pPr>
        <w:pStyle w:val="Heading2"/>
        <w:spacing w:before="0" w:after="0" w:line="360" w:lineRule="auto"/>
        <w:ind w:firstLine="709"/>
        <w:jc w:val="both"/>
        <w:rPr>
          <w:rFonts w:ascii="Times New Roman" w:eastAsia="Times New Roman" w:hAnsi="Times New Roman" w:cs="Times New Roman"/>
          <w:b/>
          <w:i/>
          <w:iCs/>
          <w:sz w:val="26"/>
          <w:szCs w:val="26"/>
          <w:lang w:val="vi-VN"/>
        </w:rPr>
      </w:pPr>
      <w:bookmarkStart w:id="4" w:name="_cr2mbxq0ps9x" w:colFirst="0" w:colLast="0"/>
      <w:bookmarkEnd w:id="4"/>
      <w:r w:rsidRPr="00DA5C88">
        <w:rPr>
          <w:rFonts w:ascii="Times New Roman" w:eastAsia="Times New Roman" w:hAnsi="Times New Roman" w:cs="Times New Roman"/>
          <w:b/>
          <w:i/>
          <w:iCs/>
          <w:sz w:val="26"/>
          <w:szCs w:val="26"/>
          <w:lang w:val="vi-VN"/>
        </w:rPr>
        <w:t>1.</w:t>
      </w:r>
      <w:r w:rsidR="00D86C48" w:rsidRPr="00DA5C88">
        <w:rPr>
          <w:rFonts w:ascii="Times New Roman" w:eastAsia="Times New Roman" w:hAnsi="Times New Roman" w:cs="Times New Roman"/>
          <w:b/>
          <w:i/>
          <w:iCs/>
          <w:sz w:val="26"/>
          <w:szCs w:val="26"/>
          <w:lang w:val="vi-VN"/>
        </w:rPr>
        <w:t xml:space="preserve">1. </w:t>
      </w:r>
      <w:r w:rsidR="00593BB1" w:rsidRPr="00DA5C88">
        <w:rPr>
          <w:rFonts w:ascii="Times New Roman" w:eastAsia="Times New Roman" w:hAnsi="Times New Roman" w:cs="Times New Roman"/>
          <w:b/>
          <w:i/>
          <w:iCs/>
          <w:sz w:val="26"/>
          <w:szCs w:val="26"/>
          <w:lang w:val="vi-VN"/>
        </w:rPr>
        <w:t xml:space="preserve">Các vướng mắc và tác động thực tế </w:t>
      </w:r>
    </w:p>
    <w:p w14:paraId="75EB2504" w14:textId="744FFE6B" w:rsidR="00F50420" w:rsidRPr="00DA5C88" w:rsidRDefault="00593BB1" w:rsidP="00890D38">
      <w:pPr>
        <w:spacing w:before="120" w:after="120"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 xml:space="preserve">Việt Nam là một trong những quốc gia có mật độ sông ngòi dày đặc nhất thế giới, với hệ thống đường thủy nội địa trải dài khắp ba miền. Tuy nhiên, dù tỷ trọng vận tải thủy đóng góp 20% tổng vận tải hàng hóa toàn quốc nhưng tỷ lệ đầu tư công cho lĩnh vực này lại ở mức rất thấp so với các phương thức vận tải khác, </w:t>
      </w:r>
      <w:r w:rsidR="0043247A" w:rsidRPr="00DA5C88">
        <w:rPr>
          <w:rFonts w:ascii="Times New Roman" w:eastAsia="Times New Roman" w:hAnsi="Times New Roman" w:cs="Times New Roman"/>
          <w:sz w:val="26"/>
          <w:szCs w:val="26"/>
          <w:lang w:val="vi-VN"/>
        </w:rPr>
        <w:t>tạo ra</w:t>
      </w:r>
      <w:r w:rsidRPr="00DA5C88">
        <w:rPr>
          <w:rFonts w:ascii="Times New Roman" w:eastAsia="Times New Roman" w:hAnsi="Times New Roman" w:cs="Times New Roman"/>
          <w:sz w:val="26"/>
          <w:szCs w:val="26"/>
          <w:lang w:val="vi-VN"/>
        </w:rPr>
        <w:t xml:space="preserve"> sự mất cân đối giữa tiềm năng, mức độ đóng góp thực tế, định hướng phát triển của ngành với thực tế giải ngân đầu tư cho phương thức này.</w:t>
      </w:r>
    </w:p>
    <w:p w14:paraId="58F7FC0B" w14:textId="1BC754C6" w:rsidR="00F50420" w:rsidRPr="00DA5C88" w:rsidRDefault="00593BB1" w:rsidP="00890D38">
      <w:pPr>
        <w:spacing w:before="120" w:after="120"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 xml:space="preserve">Hiện cả nước có gần 6.500 bến thủy nội địa, khoảng 1.800 doanh nghiệp hoạt động trong lĩnh vực vận tải thủy nội địa, với hơn 270.000 phương tiện thủy và 3.000 phương tiện chạy ven biển, đảm bảo vận chuyển khoảng 20% tổng lượng hàng hóa của Việt Nam </w:t>
      </w:r>
      <w:r w:rsidR="001B046A">
        <w:rPr>
          <w:rFonts w:ascii="Times New Roman" w:eastAsia="Times New Roman" w:hAnsi="Times New Roman" w:cs="Times New Roman"/>
          <w:sz w:val="26"/>
          <w:szCs w:val="26"/>
          <w:lang w:val="en-US"/>
        </w:rPr>
        <w:t>-</w:t>
      </w:r>
      <w:r w:rsidRPr="00DA5C88">
        <w:rPr>
          <w:rFonts w:ascii="Times New Roman" w:eastAsia="Times New Roman" w:hAnsi="Times New Roman" w:cs="Times New Roman"/>
          <w:sz w:val="26"/>
          <w:szCs w:val="26"/>
          <w:lang w:val="vi-VN"/>
        </w:rPr>
        <w:t xml:space="preserve"> cao hơn nhiều so với mức bình quân 5–7% của các nước trong khu vực. 70% sản lượng hàng hóa thủy nội địa tập trung ở khu vực phía Nam, nơi hệ thống kênh rạch, sông ngòi kết nối chặt chẽ với các trung tâm công nghiệp và cụm cảng nước sâu như Cái Mép </w:t>
      </w:r>
      <w:r w:rsidR="001B046A">
        <w:rPr>
          <w:rFonts w:ascii="Times New Roman" w:eastAsia="Times New Roman" w:hAnsi="Times New Roman" w:cs="Times New Roman"/>
          <w:sz w:val="26"/>
          <w:szCs w:val="26"/>
          <w:lang w:val="en-US"/>
        </w:rPr>
        <w:t>-</w:t>
      </w:r>
      <w:r w:rsidRPr="00DA5C88">
        <w:rPr>
          <w:rFonts w:ascii="Times New Roman" w:eastAsia="Times New Roman" w:hAnsi="Times New Roman" w:cs="Times New Roman"/>
          <w:sz w:val="26"/>
          <w:szCs w:val="26"/>
          <w:lang w:val="vi-VN"/>
        </w:rPr>
        <w:t xml:space="preserve"> Thị Vải, TP. Hồ Chí Minh, Đồng Nai.</w:t>
      </w:r>
    </w:p>
    <w:p w14:paraId="3C8D19EC" w14:textId="77777777" w:rsidR="00F50420" w:rsidRPr="00DA5C88" w:rsidRDefault="00593BB1" w:rsidP="00890D38">
      <w:pPr>
        <w:spacing w:before="120" w:after="120"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Tuy nhiên, tỷ trọng đầu tư công dành cho lĩnh vực này chỉ chiếm khoảng 2% tổng đầu tư toàn ngành giao thông vận tải giai đoạn 2001-2020, thấp hơn nhiều so với đóng góp thực tế của vận tải thủy nội địa đối với lưu thông hàng hóa, kết nối vùng và giảm phát thải. Trong khi đó, 82% vốn đầu tư vào lĩnh vực này đến từ nguồn xã hội hóa ngoài ngân sách, cho thấy tiềm năng huy động nguồn lực tư nhân lớn nếu được hỗ trợ bởi cơ chế, chính sách phù hợp.</w:t>
      </w:r>
    </w:p>
    <w:p w14:paraId="0C284A1B" w14:textId="78D5D91C" w:rsidR="00F50420" w:rsidRPr="00DA5C88" w:rsidRDefault="00593BB1" w:rsidP="005806DB">
      <w:pPr>
        <w:spacing w:before="120" w:after="120" w:line="240" w:lineRule="auto"/>
        <w:jc w:val="both"/>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Bảng</w:t>
      </w:r>
      <w:r w:rsidR="00140FF8" w:rsidRPr="00DA5C88">
        <w:rPr>
          <w:rFonts w:ascii="Times New Roman" w:eastAsia="Times New Roman" w:hAnsi="Times New Roman" w:cs="Times New Roman"/>
          <w:b/>
          <w:sz w:val="26"/>
          <w:szCs w:val="26"/>
          <w:lang w:val="vi-VN"/>
        </w:rPr>
        <w:t xml:space="preserve"> </w:t>
      </w:r>
      <w:r w:rsidR="007D161C" w:rsidRPr="00DA5C88">
        <w:rPr>
          <w:rFonts w:ascii="Times New Roman" w:eastAsia="Times New Roman" w:hAnsi="Times New Roman" w:cs="Times New Roman"/>
          <w:b/>
          <w:sz w:val="26"/>
          <w:szCs w:val="26"/>
          <w:lang w:val="vi-VN"/>
        </w:rPr>
        <w:t>1</w:t>
      </w:r>
      <w:r w:rsidRPr="00DA5C88">
        <w:rPr>
          <w:rFonts w:ascii="Times New Roman" w:eastAsia="Times New Roman" w:hAnsi="Times New Roman" w:cs="Times New Roman"/>
          <w:b/>
          <w:sz w:val="26"/>
          <w:szCs w:val="26"/>
          <w:lang w:val="vi-VN"/>
        </w:rPr>
        <w:t>: Đầu tư cho các phương thức vận tải GĐ 2021-2030 so với GĐ 2011-2020</w:t>
      </w:r>
    </w:p>
    <w:tbl>
      <w:tblPr>
        <w:tblStyle w:val="a3"/>
        <w:tblW w:w="10905"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1"/>
        <w:gridCol w:w="2059"/>
        <w:gridCol w:w="1650"/>
        <w:gridCol w:w="1545"/>
        <w:gridCol w:w="1245"/>
        <w:gridCol w:w="1245"/>
        <w:gridCol w:w="1245"/>
        <w:gridCol w:w="1245"/>
      </w:tblGrid>
      <w:tr w:rsidR="00F50420" w:rsidRPr="00DA5C88" w14:paraId="6D4E4A8E" w14:textId="77777777" w:rsidTr="00F975E4">
        <w:trPr>
          <w:tblHeader/>
        </w:trPr>
        <w:tc>
          <w:tcPr>
            <w:tcW w:w="671" w:type="dxa"/>
            <w:vMerge w:val="restart"/>
            <w:vAlign w:val="center"/>
          </w:tcPr>
          <w:p w14:paraId="00AF9959" w14:textId="77777777" w:rsidR="00F50420" w:rsidRPr="00DA5C88" w:rsidRDefault="00593BB1" w:rsidP="00140FF8">
            <w:pPr>
              <w:spacing w:before="60" w:after="60"/>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TT</w:t>
            </w:r>
          </w:p>
        </w:tc>
        <w:tc>
          <w:tcPr>
            <w:tcW w:w="2059" w:type="dxa"/>
            <w:vMerge w:val="restart"/>
            <w:vAlign w:val="center"/>
          </w:tcPr>
          <w:p w14:paraId="6B9A8CE6" w14:textId="77777777" w:rsidR="00F50420" w:rsidRPr="00DA5C88" w:rsidRDefault="00593BB1" w:rsidP="00140FF8">
            <w:pPr>
              <w:spacing w:before="60" w:after="60"/>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Phương thức vận tải</w:t>
            </w:r>
          </w:p>
        </w:tc>
        <w:tc>
          <w:tcPr>
            <w:tcW w:w="3195" w:type="dxa"/>
            <w:gridSpan w:val="2"/>
            <w:vAlign w:val="center"/>
          </w:tcPr>
          <w:p w14:paraId="231C3BC9" w14:textId="77777777" w:rsidR="00F50420" w:rsidRPr="00DA5C88" w:rsidRDefault="00593BB1" w:rsidP="00140FF8">
            <w:pPr>
              <w:spacing w:before="60" w:after="60"/>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Giá trị (tỷ đồng)</w:t>
            </w:r>
          </w:p>
        </w:tc>
        <w:tc>
          <w:tcPr>
            <w:tcW w:w="2490" w:type="dxa"/>
            <w:gridSpan w:val="2"/>
            <w:vAlign w:val="center"/>
          </w:tcPr>
          <w:p w14:paraId="0D2E4026" w14:textId="77777777" w:rsidR="00F50420" w:rsidRPr="00DA5C88" w:rsidRDefault="00593BB1" w:rsidP="00140FF8">
            <w:pPr>
              <w:spacing w:before="60" w:after="60"/>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Tỷ trọng</w:t>
            </w:r>
          </w:p>
        </w:tc>
        <w:tc>
          <w:tcPr>
            <w:tcW w:w="2490" w:type="dxa"/>
            <w:gridSpan w:val="2"/>
            <w:vAlign w:val="center"/>
          </w:tcPr>
          <w:p w14:paraId="425FB923" w14:textId="77777777" w:rsidR="00F50420" w:rsidRPr="00DA5C88" w:rsidRDefault="00593BB1" w:rsidP="00140FF8">
            <w:pPr>
              <w:spacing w:before="60" w:after="60"/>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Chênh lệch</w:t>
            </w:r>
          </w:p>
        </w:tc>
      </w:tr>
      <w:tr w:rsidR="00F50420" w:rsidRPr="00DA5C88" w14:paraId="116F6418" w14:textId="77777777" w:rsidTr="00F975E4">
        <w:trPr>
          <w:tblHeader/>
        </w:trPr>
        <w:tc>
          <w:tcPr>
            <w:tcW w:w="671" w:type="dxa"/>
            <w:vMerge/>
            <w:vAlign w:val="center"/>
          </w:tcPr>
          <w:p w14:paraId="6F8F176E" w14:textId="77777777" w:rsidR="00F50420" w:rsidRPr="00DA5C88" w:rsidRDefault="00F50420" w:rsidP="00140FF8">
            <w:pPr>
              <w:widowControl w:val="0"/>
              <w:spacing w:line="276" w:lineRule="auto"/>
              <w:jc w:val="center"/>
              <w:rPr>
                <w:rFonts w:ascii="Times New Roman" w:eastAsia="Times New Roman" w:hAnsi="Times New Roman" w:cs="Times New Roman"/>
                <w:b/>
                <w:sz w:val="26"/>
                <w:szCs w:val="26"/>
                <w:lang w:val="vi-VN"/>
              </w:rPr>
            </w:pPr>
          </w:p>
        </w:tc>
        <w:tc>
          <w:tcPr>
            <w:tcW w:w="2059" w:type="dxa"/>
            <w:vMerge/>
            <w:vAlign w:val="center"/>
          </w:tcPr>
          <w:p w14:paraId="5F82BBE3" w14:textId="77777777" w:rsidR="00F50420" w:rsidRPr="00DA5C88" w:rsidRDefault="00F50420" w:rsidP="00140FF8">
            <w:pPr>
              <w:widowControl w:val="0"/>
              <w:spacing w:line="276" w:lineRule="auto"/>
              <w:jc w:val="center"/>
              <w:rPr>
                <w:rFonts w:ascii="Times New Roman" w:eastAsia="Times New Roman" w:hAnsi="Times New Roman" w:cs="Times New Roman"/>
                <w:b/>
                <w:sz w:val="26"/>
                <w:szCs w:val="26"/>
                <w:lang w:val="vi-VN"/>
              </w:rPr>
            </w:pPr>
          </w:p>
        </w:tc>
        <w:tc>
          <w:tcPr>
            <w:tcW w:w="1650" w:type="dxa"/>
            <w:vAlign w:val="center"/>
          </w:tcPr>
          <w:p w14:paraId="356EE715" w14:textId="77777777" w:rsidR="00F50420" w:rsidRPr="00DA5C88" w:rsidRDefault="00593BB1" w:rsidP="00140FF8">
            <w:pPr>
              <w:spacing w:before="60" w:after="60"/>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GĐ 2011-2020 (1)</w:t>
            </w:r>
          </w:p>
        </w:tc>
        <w:tc>
          <w:tcPr>
            <w:tcW w:w="1545" w:type="dxa"/>
            <w:vAlign w:val="center"/>
          </w:tcPr>
          <w:p w14:paraId="7AA3CE84" w14:textId="77777777" w:rsidR="00F50420" w:rsidRPr="00DA5C88" w:rsidRDefault="00593BB1" w:rsidP="00140FF8">
            <w:pPr>
              <w:spacing w:before="60" w:after="60"/>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GĐ 2021-2030 (2)</w:t>
            </w:r>
          </w:p>
        </w:tc>
        <w:tc>
          <w:tcPr>
            <w:tcW w:w="1245" w:type="dxa"/>
            <w:vAlign w:val="center"/>
          </w:tcPr>
          <w:p w14:paraId="79369F80" w14:textId="77777777" w:rsidR="00F50420" w:rsidRPr="00DA5C88" w:rsidRDefault="00593BB1" w:rsidP="00140FF8">
            <w:pPr>
              <w:spacing w:before="60" w:after="60"/>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GĐ 2011-2020 (A)</w:t>
            </w:r>
          </w:p>
        </w:tc>
        <w:tc>
          <w:tcPr>
            <w:tcW w:w="1245" w:type="dxa"/>
            <w:vAlign w:val="center"/>
          </w:tcPr>
          <w:p w14:paraId="3F91F3F3" w14:textId="77777777" w:rsidR="00F50420" w:rsidRPr="00DA5C88" w:rsidRDefault="00593BB1" w:rsidP="00140FF8">
            <w:pPr>
              <w:spacing w:before="60" w:after="60"/>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GĐ 2021-2030 (B)</w:t>
            </w:r>
          </w:p>
        </w:tc>
        <w:tc>
          <w:tcPr>
            <w:tcW w:w="1245" w:type="dxa"/>
            <w:vAlign w:val="center"/>
          </w:tcPr>
          <w:p w14:paraId="5D489442" w14:textId="77777777" w:rsidR="00F50420" w:rsidRPr="00DA5C88" w:rsidRDefault="00593BB1" w:rsidP="00140FF8">
            <w:pPr>
              <w:spacing w:before="60" w:after="60"/>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(2)/(1)</w:t>
            </w:r>
          </w:p>
        </w:tc>
        <w:tc>
          <w:tcPr>
            <w:tcW w:w="1245" w:type="dxa"/>
            <w:vAlign w:val="center"/>
          </w:tcPr>
          <w:p w14:paraId="446C7FCB" w14:textId="77777777" w:rsidR="00F50420" w:rsidRPr="00DA5C88" w:rsidRDefault="00593BB1" w:rsidP="00140FF8">
            <w:pPr>
              <w:spacing w:before="60" w:after="60"/>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(B)-(A)</w:t>
            </w:r>
          </w:p>
        </w:tc>
      </w:tr>
      <w:tr w:rsidR="00F50420" w:rsidRPr="00DA5C88" w14:paraId="1CAFFD34" w14:textId="77777777" w:rsidTr="00140FF8">
        <w:tc>
          <w:tcPr>
            <w:tcW w:w="671" w:type="dxa"/>
            <w:vAlign w:val="center"/>
          </w:tcPr>
          <w:p w14:paraId="795F9BEC" w14:textId="77777777" w:rsidR="00F50420" w:rsidRPr="00DA5C88" w:rsidRDefault="00593BB1" w:rsidP="00140FF8">
            <w:pPr>
              <w:spacing w:before="60" w:after="60"/>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1</w:t>
            </w:r>
          </w:p>
        </w:tc>
        <w:tc>
          <w:tcPr>
            <w:tcW w:w="2059" w:type="dxa"/>
          </w:tcPr>
          <w:p w14:paraId="63ED9735"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Đường bộ</w:t>
            </w:r>
          </w:p>
        </w:tc>
        <w:tc>
          <w:tcPr>
            <w:tcW w:w="1650" w:type="dxa"/>
          </w:tcPr>
          <w:p w14:paraId="2CCEAA71"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573,081</w:t>
            </w:r>
          </w:p>
        </w:tc>
        <w:tc>
          <w:tcPr>
            <w:tcW w:w="1545" w:type="dxa"/>
          </w:tcPr>
          <w:p w14:paraId="0F6D70E5"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900,000</w:t>
            </w:r>
          </w:p>
        </w:tc>
        <w:tc>
          <w:tcPr>
            <w:tcW w:w="1245" w:type="dxa"/>
          </w:tcPr>
          <w:p w14:paraId="7490AB60"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58.6%</w:t>
            </w:r>
          </w:p>
        </w:tc>
        <w:tc>
          <w:tcPr>
            <w:tcW w:w="1245" w:type="dxa"/>
          </w:tcPr>
          <w:p w14:paraId="6D0B65D4"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43.7%</w:t>
            </w:r>
          </w:p>
        </w:tc>
        <w:tc>
          <w:tcPr>
            <w:tcW w:w="1245" w:type="dxa"/>
          </w:tcPr>
          <w:p w14:paraId="694E5BD7"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57.0%</w:t>
            </w:r>
          </w:p>
        </w:tc>
        <w:tc>
          <w:tcPr>
            <w:tcW w:w="1245" w:type="dxa"/>
          </w:tcPr>
          <w:p w14:paraId="7E26419C"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-14.9%</w:t>
            </w:r>
          </w:p>
        </w:tc>
      </w:tr>
      <w:tr w:rsidR="00F50420" w:rsidRPr="00DA5C88" w14:paraId="4D69E65E" w14:textId="77777777" w:rsidTr="00140FF8">
        <w:tc>
          <w:tcPr>
            <w:tcW w:w="671" w:type="dxa"/>
            <w:vAlign w:val="center"/>
          </w:tcPr>
          <w:p w14:paraId="26916D5D" w14:textId="77777777" w:rsidR="00F50420" w:rsidRPr="00DA5C88" w:rsidRDefault="00593BB1" w:rsidP="00140FF8">
            <w:pPr>
              <w:spacing w:before="60" w:after="60"/>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2</w:t>
            </w:r>
          </w:p>
        </w:tc>
        <w:tc>
          <w:tcPr>
            <w:tcW w:w="2059" w:type="dxa"/>
          </w:tcPr>
          <w:p w14:paraId="341D487A"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Đường sắt</w:t>
            </w:r>
          </w:p>
        </w:tc>
        <w:tc>
          <w:tcPr>
            <w:tcW w:w="1650" w:type="dxa"/>
          </w:tcPr>
          <w:p w14:paraId="627232EE"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39,418</w:t>
            </w:r>
          </w:p>
        </w:tc>
        <w:tc>
          <w:tcPr>
            <w:tcW w:w="1545" w:type="dxa"/>
          </w:tcPr>
          <w:p w14:paraId="5218C0A8"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240,000</w:t>
            </w:r>
          </w:p>
        </w:tc>
        <w:tc>
          <w:tcPr>
            <w:tcW w:w="1245" w:type="dxa"/>
          </w:tcPr>
          <w:p w14:paraId="1AA3D1F6"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4.0%</w:t>
            </w:r>
          </w:p>
        </w:tc>
        <w:tc>
          <w:tcPr>
            <w:tcW w:w="1245" w:type="dxa"/>
          </w:tcPr>
          <w:p w14:paraId="19BA978C"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11.6%</w:t>
            </w:r>
          </w:p>
        </w:tc>
        <w:tc>
          <w:tcPr>
            <w:tcW w:w="1245" w:type="dxa"/>
          </w:tcPr>
          <w:p w14:paraId="26548CC9"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508.9%</w:t>
            </w:r>
          </w:p>
        </w:tc>
        <w:tc>
          <w:tcPr>
            <w:tcW w:w="1245" w:type="dxa"/>
          </w:tcPr>
          <w:p w14:paraId="14A9B3F8"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7.6%</w:t>
            </w:r>
          </w:p>
        </w:tc>
      </w:tr>
      <w:tr w:rsidR="00F50420" w:rsidRPr="00DA5C88" w14:paraId="508C5F4F" w14:textId="77777777" w:rsidTr="00140FF8">
        <w:tc>
          <w:tcPr>
            <w:tcW w:w="671" w:type="dxa"/>
            <w:vAlign w:val="center"/>
          </w:tcPr>
          <w:p w14:paraId="72B7839B" w14:textId="77777777" w:rsidR="00F50420" w:rsidRPr="00DA5C88" w:rsidRDefault="00593BB1" w:rsidP="00140FF8">
            <w:pPr>
              <w:spacing w:before="60" w:after="60"/>
              <w:jc w:val="center"/>
              <w:rPr>
                <w:rFonts w:ascii="Times New Roman" w:eastAsia="Times New Roman" w:hAnsi="Times New Roman" w:cs="Times New Roman"/>
                <w:b/>
                <w:bCs/>
                <w:i/>
                <w:iCs/>
                <w:sz w:val="26"/>
                <w:szCs w:val="26"/>
                <w:lang w:val="vi-VN"/>
              </w:rPr>
            </w:pPr>
            <w:r w:rsidRPr="00DA5C88">
              <w:rPr>
                <w:rFonts w:ascii="Times New Roman" w:eastAsia="Times New Roman" w:hAnsi="Times New Roman" w:cs="Times New Roman"/>
                <w:b/>
                <w:bCs/>
                <w:i/>
                <w:iCs/>
                <w:sz w:val="26"/>
                <w:szCs w:val="26"/>
                <w:lang w:val="vi-VN"/>
              </w:rPr>
              <w:lastRenderedPageBreak/>
              <w:t>3</w:t>
            </w:r>
          </w:p>
        </w:tc>
        <w:tc>
          <w:tcPr>
            <w:tcW w:w="2059" w:type="dxa"/>
          </w:tcPr>
          <w:p w14:paraId="0540BAE3" w14:textId="77777777" w:rsidR="00F50420" w:rsidRPr="00DA5C88" w:rsidRDefault="00593BB1" w:rsidP="005806DB">
            <w:pPr>
              <w:spacing w:before="60" w:after="60"/>
              <w:jc w:val="both"/>
              <w:rPr>
                <w:rFonts w:ascii="Times New Roman" w:eastAsia="Times New Roman" w:hAnsi="Times New Roman" w:cs="Times New Roman"/>
                <w:b/>
                <w:bCs/>
                <w:i/>
                <w:iCs/>
                <w:sz w:val="26"/>
                <w:szCs w:val="26"/>
                <w:lang w:val="vi-VN"/>
              </w:rPr>
            </w:pPr>
            <w:r w:rsidRPr="00DA5C88">
              <w:rPr>
                <w:rFonts w:ascii="Times New Roman" w:eastAsia="Times New Roman" w:hAnsi="Times New Roman" w:cs="Times New Roman"/>
                <w:b/>
                <w:bCs/>
                <w:i/>
                <w:iCs/>
                <w:sz w:val="26"/>
                <w:szCs w:val="26"/>
                <w:lang w:val="vi-VN"/>
              </w:rPr>
              <w:t>Đường thủy</w:t>
            </w:r>
          </w:p>
        </w:tc>
        <w:tc>
          <w:tcPr>
            <w:tcW w:w="1650" w:type="dxa"/>
          </w:tcPr>
          <w:p w14:paraId="1F4E4765" w14:textId="77777777" w:rsidR="00F50420" w:rsidRPr="00DA5C88" w:rsidRDefault="00593BB1" w:rsidP="005806DB">
            <w:pPr>
              <w:spacing w:before="60" w:after="60"/>
              <w:jc w:val="both"/>
              <w:rPr>
                <w:rFonts w:ascii="Times New Roman" w:eastAsia="Times New Roman" w:hAnsi="Times New Roman" w:cs="Times New Roman"/>
                <w:b/>
                <w:bCs/>
                <w:i/>
                <w:iCs/>
                <w:sz w:val="26"/>
                <w:szCs w:val="26"/>
                <w:lang w:val="vi-VN"/>
              </w:rPr>
            </w:pPr>
            <w:r w:rsidRPr="00DA5C88">
              <w:rPr>
                <w:rFonts w:ascii="Times New Roman" w:eastAsia="Times New Roman" w:hAnsi="Times New Roman" w:cs="Times New Roman"/>
                <w:b/>
                <w:bCs/>
                <w:i/>
                <w:iCs/>
                <w:sz w:val="26"/>
                <w:szCs w:val="26"/>
                <w:lang w:val="vi-VN"/>
              </w:rPr>
              <w:t>73,157</w:t>
            </w:r>
          </w:p>
        </w:tc>
        <w:tc>
          <w:tcPr>
            <w:tcW w:w="1545" w:type="dxa"/>
          </w:tcPr>
          <w:p w14:paraId="1915B89F" w14:textId="77777777" w:rsidR="00F50420" w:rsidRPr="00DA5C88" w:rsidRDefault="00593BB1" w:rsidP="005806DB">
            <w:pPr>
              <w:spacing w:before="60" w:after="60"/>
              <w:jc w:val="both"/>
              <w:rPr>
                <w:rFonts w:ascii="Times New Roman" w:eastAsia="Times New Roman" w:hAnsi="Times New Roman" w:cs="Times New Roman"/>
                <w:b/>
                <w:bCs/>
                <w:i/>
                <w:iCs/>
                <w:sz w:val="26"/>
                <w:szCs w:val="26"/>
                <w:lang w:val="vi-VN"/>
              </w:rPr>
            </w:pPr>
            <w:r w:rsidRPr="00DA5C88">
              <w:rPr>
                <w:rFonts w:ascii="Times New Roman" w:eastAsia="Times New Roman" w:hAnsi="Times New Roman" w:cs="Times New Roman"/>
                <w:b/>
                <w:bCs/>
                <w:i/>
                <w:iCs/>
                <w:sz w:val="26"/>
                <w:szCs w:val="26"/>
                <w:lang w:val="vi-VN"/>
              </w:rPr>
              <w:t>187,533</w:t>
            </w:r>
          </w:p>
        </w:tc>
        <w:tc>
          <w:tcPr>
            <w:tcW w:w="1245" w:type="dxa"/>
          </w:tcPr>
          <w:p w14:paraId="715877D0" w14:textId="77777777" w:rsidR="00F50420" w:rsidRPr="00DA5C88" w:rsidRDefault="00593BB1" w:rsidP="005806DB">
            <w:pPr>
              <w:spacing w:before="60" w:after="60"/>
              <w:jc w:val="both"/>
              <w:rPr>
                <w:rFonts w:ascii="Times New Roman" w:eastAsia="Times New Roman" w:hAnsi="Times New Roman" w:cs="Times New Roman"/>
                <w:b/>
                <w:bCs/>
                <w:i/>
                <w:iCs/>
                <w:sz w:val="26"/>
                <w:szCs w:val="26"/>
                <w:lang w:val="vi-VN"/>
              </w:rPr>
            </w:pPr>
            <w:r w:rsidRPr="00DA5C88">
              <w:rPr>
                <w:rFonts w:ascii="Times New Roman" w:eastAsia="Times New Roman" w:hAnsi="Times New Roman" w:cs="Times New Roman"/>
                <w:b/>
                <w:bCs/>
                <w:i/>
                <w:iCs/>
                <w:sz w:val="26"/>
                <w:szCs w:val="26"/>
                <w:lang w:val="vi-VN"/>
              </w:rPr>
              <w:t>7.5%</w:t>
            </w:r>
          </w:p>
        </w:tc>
        <w:tc>
          <w:tcPr>
            <w:tcW w:w="1245" w:type="dxa"/>
          </w:tcPr>
          <w:p w14:paraId="69F94E69" w14:textId="77777777" w:rsidR="00F50420" w:rsidRPr="00DA5C88" w:rsidRDefault="00593BB1" w:rsidP="005806DB">
            <w:pPr>
              <w:spacing w:before="60" w:after="60"/>
              <w:jc w:val="both"/>
              <w:rPr>
                <w:rFonts w:ascii="Times New Roman" w:eastAsia="Times New Roman" w:hAnsi="Times New Roman" w:cs="Times New Roman"/>
                <w:b/>
                <w:bCs/>
                <w:i/>
                <w:iCs/>
                <w:sz w:val="26"/>
                <w:szCs w:val="26"/>
                <w:lang w:val="vi-VN"/>
              </w:rPr>
            </w:pPr>
            <w:r w:rsidRPr="00DA5C88">
              <w:rPr>
                <w:rFonts w:ascii="Times New Roman" w:eastAsia="Times New Roman" w:hAnsi="Times New Roman" w:cs="Times New Roman"/>
                <w:b/>
                <w:bCs/>
                <w:i/>
                <w:iCs/>
                <w:sz w:val="26"/>
                <w:szCs w:val="26"/>
                <w:lang w:val="vi-VN"/>
              </w:rPr>
              <w:t>9.1%</w:t>
            </w:r>
          </w:p>
        </w:tc>
        <w:tc>
          <w:tcPr>
            <w:tcW w:w="1245" w:type="dxa"/>
          </w:tcPr>
          <w:p w14:paraId="1C42090F" w14:textId="77777777" w:rsidR="00F50420" w:rsidRPr="00DA5C88" w:rsidRDefault="00593BB1" w:rsidP="005806DB">
            <w:pPr>
              <w:spacing w:before="60" w:after="60"/>
              <w:jc w:val="both"/>
              <w:rPr>
                <w:rFonts w:ascii="Times New Roman" w:eastAsia="Times New Roman" w:hAnsi="Times New Roman" w:cs="Times New Roman"/>
                <w:b/>
                <w:bCs/>
                <w:i/>
                <w:iCs/>
                <w:sz w:val="26"/>
                <w:szCs w:val="26"/>
                <w:lang w:val="vi-VN"/>
              </w:rPr>
            </w:pPr>
            <w:r w:rsidRPr="00DA5C88">
              <w:rPr>
                <w:rFonts w:ascii="Times New Roman" w:eastAsia="Times New Roman" w:hAnsi="Times New Roman" w:cs="Times New Roman"/>
                <w:b/>
                <w:bCs/>
                <w:i/>
                <w:iCs/>
                <w:sz w:val="26"/>
                <w:szCs w:val="26"/>
                <w:lang w:val="vi-VN"/>
              </w:rPr>
              <w:t>156.3%</w:t>
            </w:r>
          </w:p>
        </w:tc>
        <w:tc>
          <w:tcPr>
            <w:tcW w:w="1245" w:type="dxa"/>
          </w:tcPr>
          <w:p w14:paraId="2C62420B" w14:textId="77777777" w:rsidR="00F50420" w:rsidRPr="00DA5C88" w:rsidRDefault="00593BB1" w:rsidP="005806DB">
            <w:pPr>
              <w:spacing w:before="60" w:after="60"/>
              <w:jc w:val="both"/>
              <w:rPr>
                <w:rFonts w:ascii="Times New Roman" w:eastAsia="Times New Roman" w:hAnsi="Times New Roman" w:cs="Times New Roman"/>
                <w:b/>
                <w:bCs/>
                <w:i/>
                <w:iCs/>
                <w:sz w:val="26"/>
                <w:szCs w:val="26"/>
                <w:lang w:val="vi-VN"/>
              </w:rPr>
            </w:pPr>
            <w:r w:rsidRPr="00DA5C88">
              <w:rPr>
                <w:rFonts w:ascii="Times New Roman" w:eastAsia="Times New Roman" w:hAnsi="Times New Roman" w:cs="Times New Roman"/>
                <w:b/>
                <w:bCs/>
                <w:i/>
                <w:iCs/>
                <w:sz w:val="26"/>
                <w:szCs w:val="26"/>
                <w:lang w:val="vi-VN"/>
              </w:rPr>
              <w:t>1.6%</w:t>
            </w:r>
          </w:p>
        </w:tc>
      </w:tr>
      <w:tr w:rsidR="00F50420" w:rsidRPr="00DA5C88" w14:paraId="17CE21E0" w14:textId="77777777" w:rsidTr="00140FF8">
        <w:tc>
          <w:tcPr>
            <w:tcW w:w="671" w:type="dxa"/>
            <w:vAlign w:val="center"/>
          </w:tcPr>
          <w:p w14:paraId="34314632" w14:textId="77777777" w:rsidR="00F50420" w:rsidRPr="00DA5C88" w:rsidRDefault="00593BB1" w:rsidP="00140FF8">
            <w:pPr>
              <w:spacing w:before="60" w:after="60"/>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4</w:t>
            </w:r>
          </w:p>
        </w:tc>
        <w:tc>
          <w:tcPr>
            <w:tcW w:w="2059" w:type="dxa"/>
          </w:tcPr>
          <w:p w14:paraId="615EC69A"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Hàng hải</w:t>
            </w:r>
          </w:p>
        </w:tc>
        <w:tc>
          <w:tcPr>
            <w:tcW w:w="1650" w:type="dxa"/>
          </w:tcPr>
          <w:p w14:paraId="0BF5E501"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201,747</w:t>
            </w:r>
          </w:p>
        </w:tc>
        <w:tc>
          <w:tcPr>
            <w:tcW w:w="1545" w:type="dxa"/>
          </w:tcPr>
          <w:p w14:paraId="735F0FC8"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313,000</w:t>
            </w:r>
          </w:p>
        </w:tc>
        <w:tc>
          <w:tcPr>
            <w:tcW w:w="1245" w:type="dxa"/>
          </w:tcPr>
          <w:p w14:paraId="20ED633E"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20.6%</w:t>
            </w:r>
          </w:p>
        </w:tc>
        <w:tc>
          <w:tcPr>
            <w:tcW w:w="1245" w:type="dxa"/>
          </w:tcPr>
          <w:p w14:paraId="4E051777"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15.2%</w:t>
            </w:r>
          </w:p>
        </w:tc>
        <w:tc>
          <w:tcPr>
            <w:tcW w:w="1245" w:type="dxa"/>
          </w:tcPr>
          <w:p w14:paraId="3462172F"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55.1%</w:t>
            </w:r>
          </w:p>
        </w:tc>
        <w:tc>
          <w:tcPr>
            <w:tcW w:w="1245" w:type="dxa"/>
          </w:tcPr>
          <w:p w14:paraId="32202F94"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-5.2%</w:t>
            </w:r>
          </w:p>
        </w:tc>
      </w:tr>
      <w:tr w:rsidR="00F50420" w:rsidRPr="00DA5C88" w14:paraId="5FC1B46B" w14:textId="77777777" w:rsidTr="00140FF8">
        <w:tc>
          <w:tcPr>
            <w:tcW w:w="671" w:type="dxa"/>
            <w:vAlign w:val="center"/>
          </w:tcPr>
          <w:p w14:paraId="59F6516F" w14:textId="77777777" w:rsidR="00F50420" w:rsidRPr="00DA5C88" w:rsidRDefault="00593BB1" w:rsidP="00140FF8">
            <w:pPr>
              <w:spacing w:before="60" w:after="60"/>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5</w:t>
            </w:r>
          </w:p>
        </w:tc>
        <w:tc>
          <w:tcPr>
            <w:tcW w:w="2059" w:type="dxa"/>
          </w:tcPr>
          <w:p w14:paraId="599EFEF7"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Hàng không</w:t>
            </w:r>
          </w:p>
        </w:tc>
        <w:tc>
          <w:tcPr>
            <w:tcW w:w="1650" w:type="dxa"/>
          </w:tcPr>
          <w:p w14:paraId="43A83C4C"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90,373</w:t>
            </w:r>
          </w:p>
        </w:tc>
        <w:tc>
          <w:tcPr>
            <w:tcW w:w="1545" w:type="dxa"/>
          </w:tcPr>
          <w:p w14:paraId="281DFF09"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420,000</w:t>
            </w:r>
          </w:p>
        </w:tc>
        <w:tc>
          <w:tcPr>
            <w:tcW w:w="1245" w:type="dxa"/>
          </w:tcPr>
          <w:p w14:paraId="21CDC46D"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9.2%</w:t>
            </w:r>
          </w:p>
        </w:tc>
        <w:tc>
          <w:tcPr>
            <w:tcW w:w="1245" w:type="dxa"/>
          </w:tcPr>
          <w:p w14:paraId="6DF5605D"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20.4%</w:t>
            </w:r>
          </w:p>
        </w:tc>
        <w:tc>
          <w:tcPr>
            <w:tcW w:w="1245" w:type="dxa"/>
          </w:tcPr>
          <w:p w14:paraId="797EB6A9"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364.7%</w:t>
            </w:r>
          </w:p>
        </w:tc>
        <w:tc>
          <w:tcPr>
            <w:tcW w:w="1245" w:type="dxa"/>
          </w:tcPr>
          <w:p w14:paraId="0D325A5F" w14:textId="77777777" w:rsidR="00F50420" w:rsidRPr="00DA5C88" w:rsidRDefault="00593BB1" w:rsidP="005806DB">
            <w:pPr>
              <w:spacing w:before="60" w:after="60"/>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11.4%</w:t>
            </w:r>
          </w:p>
        </w:tc>
      </w:tr>
      <w:tr w:rsidR="00F50420" w:rsidRPr="00DA5C88" w14:paraId="25AE222A" w14:textId="77777777" w:rsidTr="00140FF8">
        <w:tc>
          <w:tcPr>
            <w:tcW w:w="671" w:type="dxa"/>
            <w:vAlign w:val="center"/>
          </w:tcPr>
          <w:p w14:paraId="253358C5" w14:textId="77777777" w:rsidR="00F50420" w:rsidRPr="00DA5C88" w:rsidRDefault="00F50420" w:rsidP="00140FF8">
            <w:pPr>
              <w:spacing w:before="60" w:after="60"/>
              <w:jc w:val="center"/>
              <w:rPr>
                <w:rFonts w:ascii="Times New Roman" w:eastAsia="Times New Roman" w:hAnsi="Times New Roman" w:cs="Times New Roman"/>
                <w:b/>
                <w:sz w:val="26"/>
                <w:szCs w:val="26"/>
                <w:lang w:val="vi-VN"/>
              </w:rPr>
            </w:pPr>
          </w:p>
        </w:tc>
        <w:tc>
          <w:tcPr>
            <w:tcW w:w="2059" w:type="dxa"/>
          </w:tcPr>
          <w:p w14:paraId="3DE1469F" w14:textId="77777777" w:rsidR="00F50420" w:rsidRPr="00DA5C88" w:rsidRDefault="00593BB1" w:rsidP="005806DB">
            <w:pPr>
              <w:spacing w:before="60" w:after="60"/>
              <w:jc w:val="both"/>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Tổng cộng</w:t>
            </w:r>
          </w:p>
        </w:tc>
        <w:tc>
          <w:tcPr>
            <w:tcW w:w="1650" w:type="dxa"/>
          </w:tcPr>
          <w:p w14:paraId="065F1F6D" w14:textId="77777777" w:rsidR="00F50420" w:rsidRPr="00DA5C88" w:rsidRDefault="00593BB1" w:rsidP="005806DB">
            <w:pPr>
              <w:spacing w:before="60" w:after="60"/>
              <w:jc w:val="both"/>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977,776</w:t>
            </w:r>
          </w:p>
        </w:tc>
        <w:tc>
          <w:tcPr>
            <w:tcW w:w="1545" w:type="dxa"/>
          </w:tcPr>
          <w:p w14:paraId="0A454E06" w14:textId="77777777" w:rsidR="00F50420" w:rsidRPr="00DA5C88" w:rsidRDefault="00593BB1" w:rsidP="005806DB">
            <w:pPr>
              <w:spacing w:before="60" w:after="60"/>
              <w:jc w:val="both"/>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2,060,533</w:t>
            </w:r>
          </w:p>
        </w:tc>
        <w:tc>
          <w:tcPr>
            <w:tcW w:w="1245" w:type="dxa"/>
          </w:tcPr>
          <w:p w14:paraId="1FCF0337" w14:textId="77777777" w:rsidR="00F50420" w:rsidRPr="00DA5C88" w:rsidRDefault="00593BB1" w:rsidP="005806DB">
            <w:pPr>
              <w:spacing w:before="60" w:after="60"/>
              <w:jc w:val="both"/>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100.0%</w:t>
            </w:r>
          </w:p>
        </w:tc>
        <w:tc>
          <w:tcPr>
            <w:tcW w:w="1245" w:type="dxa"/>
          </w:tcPr>
          <w:p w14:paraId="63BB0FF2" w14:textId="77777777" w:rsidR="00F50420" w:rsidRPr="00DA5C88" w:rsidRDefault="00593BB1" w:rsidP="005806DB">
            <w:pPr>
              <w:spacing w:before="60" w:after="60"/>
              <w:jc w:val="both"/>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100.0%</w:t>
            </w:r>
          </w:p>
        </w:tc>
        <w:tc>
          <w:tcPr>
            <w:tcW w:w="1245" w:type="dxa"/>
          </w:tcPr>
          <w:p w14:paraId="1A5FB53F" w14:textId="77777777" w:rsidR="00F50420" w:rsidRPr="00DA5C88" w:rsidRDefault="00593BB1" w:rsidP="005806DB">
            <w:pPr>
              <w:spacing w:before="60" w:after="60"/>
              <w:jc w:val="both"/>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110.7%</w:t>
            </w:r>
          </w:p>
        </w:tc>
        <w:tc>
          <w:tcPr>
            <w:tcW w:w="1245" w:type="dxa"/>
          </w:tcPr>
          <w:p w14:paraId="64B8EECD" w14:textId="77777777" w:rsidR="00F50420" w:rsidRPr="00DA5C88" w:rsidRDefault="00593BB1" w:rsidP="005806DB">
            <w:pPr>
              <w:spacing w:before="60" w:after="60"/>
              <w:jc w:val="both"/>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0.0%</w:t>
            </w:r>
          </w:p>
        </w:tc>
      </w:tr>
    </w:tbl>
    <w:p w14:paraId="24616A1E" w14:textId="254347A5" w:rsidR="00F50420" w:rsidRPr="00DA5C88" w:rsidRDefault="00593BB1" w:rsidP="001B046A">
      <w:pPr>
        <w:spacing w:before="120" w:after="120" w:line="240" w:lineRule="auto"/>
        <w:ind w:firstLine="709"/>
        <w:jc w:val="both"/>
        <w:rPr>
          <w:rFonts w:ascii="Times New Roman" w:eastAsia="Times New Roman" w:hAnsi="Times New Roman" w:cs="Times New Roman"/>
          <w:i/>
          <w:lang w:val="vi-VN"/>
        </w:rPr>
      </w:pPr>
      <w:r w:rsidRPr="00DA5C88">
        <w:rPr>
          <w:rFonts w:ascii="Times New Roman" w:eastAsia="Times New Roman" w:hAnsi="Times New Roman" w:cs="Times New Roman"/>
          <w:i/>
          <w:lang w:val="vi-VN"/>
        </w:rPr>
        <w:t xml:space="preserve">Nguồn: Chỉ thị 37/CT-TTg </w:t>
      </w:r>
      <w:r w:rsidR="001B046A">
        <w:rPr>
          <w:rFonts w:ascii="Times New Roman" w:eastAsia="Times New Roman" w:hAnsi="Times New Roman" w:cs="Times New Roman"/>
          <w:i/>
          <w:lang w:val="en-US"/>
        </w:rPr>
        <w:t>-</w:t>
      </w:r>
      <w:r w:rsidRPr="00DA5C88">
        <w:rPr>
          <w:rFonts w:ascii="Times New Roman" w:eastAsia="Times New Roman" w:hAnsi="Times New Roman" w:cs="Times New Roman"/>
          <w:i/>
          <w:lang w:val="vi-VN"/>
        </w:rPr>
        <w:t xml:space="preserve"> 2020 và kiến nghị của Cục ĐTNĐ; QĐ 1454/2021/QĐ-TTg QH mạng lưới đường bộ; QĐ 1769/2021/QĐ-TTg QH đường sắt; QĐ 648/2023/QĐ-TTg QH đường hàng không; QĐ 1579/2021/QĐ-TTg QH cảng biển</w:t>
      </w:r>
    </w:p>
    <w:p w14:paraId="4830D7F7" w14:textId="77777777" w:rsidR="00F50420" w:rsidRPr="00DA5C88" w:rsidRDefault="00593BB1" w:rsidP="00892C52">
      <w:pPr>
        <w:spacing w:before="120"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Theo thống kê từ các quy hoạch phương thức vận tải giai đoạn 2021-2030, tổng nhu cầu vốn đầu tư toàn ngành giao thông dự kiến đạt hơn 2 triệu tỷ đồng, tăng hơn gấp đôi so với giai đoạn 2011–2020. Trong đó, đường thủy nội địa được dự kiến bố trí khoảng 131.000 tỷ đồng, tăng 1,56 lần về giá trị tuyệt đối, song tỷ trọng đầu tư vẫn chỉ chiếm khoảng 9,1% tổng vốn, thấp nhất trong năm phương thức vận tải.</w:t>
      </w:r>
    </w:p>
    <w:p w14:paraId="09838651" w14:textId="7E9DDC6B" w:rsidR="00F50420" w:rsidRPr="00DA5C88" w:rsidRDefault="00593BB1" w:rsidP="00890D38">
      <w:pPr>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Phát triển vận tải thủy nội địa hiện được xác định là một trong những định hướng trọng tâm để nâng cao hiệu quả vận tải, giảm chi phí logistics và hướng tới phát triển bền vững. Đây là phương thức có chi phí thấp, khả năng chuyên chở khối lượng lớn, ít tiêu hao năng lượng và thân thiện môi trường, đóng vai trò quan trọng trong việc giảm tải cho đường bộ và đường sắt, góp phần thúc đẩy logistics xanh và giảm phát thải khí nhà kính.</w:t>
      </w:r>
      <w:r w:rsidR="0043247A" w:rsidRPr="00DA5C88">
        <w:rPr>
          <w:rFonts w:ascii="Times New Roman" w:eastAsia="Times New Roman" w:hAnsi="Times New Roman" w:cs="Times New Roman"/>
          <w:sz w:val="26"/>
          <w:szCs w:val="26"/>
          <w:lang w:val="vi-VN"/>
        </w:rPr>
        <w:t xml:space="preserve"> </w:t>
      </w:r>
      <w:r w:rsidRPr="00DA5C88">
        <w:rPr>
          <w:rFonts w:ascii="Times New Roman" w:eastAsia="Times New Roman" w:hAnsi="Times New Roman" w:cs="Times New Roman"/>
          <w:sz w:val="26"/>
          <w:szCs w:val="26"/>
          <w:lang w:val="vi-VN"/>
        </w:rPr>
        <w:t>Công điện số 113/CĐ-TTg ngày 15/7/2025 của Thủ tướng Chính phủ về giải pháp phát triển hiệu quả vận tải đường thủy đã xác định rõ định hướng thúc đẩy logistics trong lĩnh vực này.</w:t>
      </w:r>
    </w:p>
    <w:p w14:paraId="15C491CB" w14:textId="7992C8E8" w:rsidR="00F50420" w:rsidRPr="00DA5C88" w:rsidRDefault="0043247A" w:rsidP="00890D38">
      <w:pPr>
        <w:spacing w:line="360" w:lineRule="auto"/>
        <w:ind w:firstLine="709"/>
        <w:jc w:val="both"/>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Tuy nhiên, h</w:t>
      </w:r>
      <w:r w:rsidR="00593BB1" w:rsidRPr="00DA5C88">
        <w:rPr>
          <w:rFonts w:ascii="Times New Roman" w:eastAsia="Times New Roman" w:hAnsi="Times New Roman" w:cs="Times New Roman"/>
          <w:b/>
          <w:sz w:val="26"/>
          <w:szCs w:val="26"/>
          <w:lang w:val="vi-VN"/>
        </w:rPr>
        <w:t>ệ thống hạ tầng cho phương thức vận tải này vẫn đang còn nhiều hạn chế bộc lộ thông qua các biểu hiện:</w:t>
      </w:r>
    </w:p>
    <w:p w14:paraId="00405F49" w14:textId="77777777" w:rsidR="008037D8" w:rsidRPr="00DA5C88" w:rsidRDefault="00A06D90" w:rsidP="00890D38">
      <w:pPr>
        <w:spacing w:line="360" w:lineRule="auto"/>
        <w:ind w:firstLine="709"/>
        <w:jc w:val="both"/>
        <w:rPr>
          <w:rFonts w:ascii="Times New Roman" w:eastAsia="Times New Roman" w:hAnsi="Times New Roman" w:cs="Times New Roman"/>
          <w:bCs/>
          <w:sz w:val="26"/>
          <w:szCs w:val="26"/>
          <w:lang w:val="vi-VN"/>
        </w:rPr>
      </w:pPr>
      <w:r w:rsidRPr="00DA5C88">
        <w:rPr>
          <w:rFonts w:ascii="Times New Roman" w:eastAsia="Times New Roman" w:hAnsi="Times New Roman" w:cs="Times New Roman"/>
          <w:bCs/>
          <w:i/>
          <w:iCs/>
          <w:sz w:val="26"/>
          <w:szCs w:val="26"/>
          <w:lang w:val="vi-VN"/>
        </w:rPr>
        <w:t xml:space="preserve">- </w:t>
      </w:r>
      <w:r w:rsidR="001B40FC" w:rsidRPr="00DA5C88">
        <w:rPr>
          <w:rFonts w:ascii="Times New Roman" w:eastAsia="Times New Roman" w:hAnsi="Times New Roman" w:cs="Times New Roman"/>
          <w:bCs/>
          <w:i/>
          <w:iCs/>
          <w:sz w:val="26"/>
          <w:szCs w:val="26"/>
          <w:lang w:val="vi-VN"/>
        </w:rPr>
        <w:t>Tĩnh không cầu thấp:</w:t>
      </w:r>
      <w:r w:rsidR="008037D8" w:rsidRPr="00DA5C88">
        <w:rPr>
          <w:rFonts w:ascii="Times New Roman" w:eastAsia="Times New Roman" w:hAnsi="Times New Roman" w:cs="Times New Roman"/>
          <w:bCs/>
          <w:i/>
          <w:iCs/>
          <w:sz w:val="26"/>
          <w:szCs w:val="26"/>
          <w:lang w:val="vi-VN"/>
        </w:rPr>
        <w:t xml:space="preserve"> </w:t>
      </w:r>
      <w:r w:rsidR="008037D8" w:rsidRPr="00DA5C88">
        <w:rPr>
          <w:rFonts w:ascii="Times New Roman" w:eastAsia="Times New Roman" w:hAnsi="Times New Roman" w:cs="Times New Roman"/>
          <w:bCs/>
          <w:sz w:val="26"/>
          <w:szCs w:val="26"/>
          <w:lang w:val="vi-VN"/>
        </w:rPr>
        <w:t xml:space="preserve">Một trong những hạn chế nổi bật hiện nay của hệ thống giao thông thủy nội địa là nhiều cầu vượt sông có tĩnh không thấp hơn tiêu chuẩn kỹ thuật quy định, đặc biệt trên các tuyến luồng trọng điểm khu vực phía Nam. Phần lớn các cây cầu này được xây dựng từ lâu, trong điều kiện quy mô phương tiện và nhu cầu vận tải còn hạn chế, nên chưa đáp ứng được tiêu chuẩn thông thuyền tối thiểu theo cấp kỹ thuật luồng I–II (tĩnh không ≥ 7 m). Việc cải tạo, nâng cấp tĩnh không hiện nay gặp nhiều khó khăn do kết cấu cầu cũ, chi phí lớn và vướng giải phóng mặt bằng trong khu vực đô thị đông dân cư. </w:t>
      </w:r>
    </w:p>
    <w:p w14:paraId="409433CF" w14:textId="77777777" w:rsidR="008037D8" w:rsidRPr="00DA5C88" w:rsidRDefault="008037D8" w:rsidP="00890D38">
      <w:pPr>
        <w:spacing w:line="360" w:lineRule="auto"/>
        <w:ind w:firstLine="709"/>
        <w:jc w:val="both"/>
        <w:rPr>
          <w:rFonts w:ascii="Times New Roman" w:eastAsia="Times New Roman" w:hAnsi="Times New Roman" w:cs="Times New Roman"/>
          <w:bCs/>
          <w:sz w:val="26"/>
          <w:szCs w:val="26"/>
          <w:lang w:val="vi-VN"/>
        </w:rPr>
      </w:pPr>
      <w:r w:rsidRPr="00DA5C88">
        <w:rPr>
          <w:rFonts w:ascii="Times New Roman" w:eastAsia="Times New Roman" w:hAnsi="Times New Roman" w:cs="Times New Roman"/>
          <w:bCs/>
          <w:sz w:val="26"/>
          <w:szCs w:val="26"/>
          <w:lang w:val="vi-VN"/>
        </w:rPr>
        <w:lastRenderedPageBreak/>
        <w:t>Tình trạng tĩnh không thấp khiến tàu hàng và sà lan container trọng tải lớn không thể lưu thông thông suốt, gây gián đoạn tuyến vận tải thủy liên vùng và làm giảm năng lực khai thác toàn tuyến. Do phải chia tải hoặc chuyển chặng, doanh nghiệp vận tải chịu thêm chi phí vận hành, thời gian vận chuyển kéo dài, và chuỗi logistics bị gián đoạn.</w:t>
      </w:r>
    </w:p>
    <w:p w14:paraId="1DF6F185" w14:textId="10946033" w:rsidR="005651E5" w:rsidRPr="00DA5C88" w:rsidRDefault="008037D8" w:rsidP="00890D38">
      <w:pPr>
        <w:spacing w:line="360" w:lineRule="auto"/>
        <w:ind w:firstLine="709"/>
        <w:jc w:val="both"/>
        <w:rPr>
          <w:rFonts w:ascii="Times New Roman" w:eastAsia="Times New Roman" w:hAnsi="Times New Roman" w:cs="Times New Roman"/>
          <w:bCs/>
          <w:sz w:val="26"/>
          <w:szCs w:val="26"/>
          <w:lang w:val="vi-VN"/>
        </w:rPr>
      </w:pPr>
      <w:r w:rsidRPr="00DA5C88">
        <w:rPr>
          <w:rFonts w:ascii="Times New Roman" w:eastAsia="Times New Roman" w:hAnsi="Times New Roman" w:cs="Times New Roman"/>
          <w:bCs/>
          <w:sz w:val="26"/>
          <w:szCs w:val="26"/>
          <w:lang w:val="vi-VN"/>
        </w:rPr>
        <w:t>Trên thực tế, cầu Bình Triệu 1 và cầu Bình Phước 1 trên sông Sài Gòn là hai ví dụ điển hình cho tình trạng này. Cả hai cây cầu đều nằm trên các tuyến giao thông huyết mạch của TP. Hồ Chí Minh, đồng thời bắc qua sông Sài Gòn – tuyến vận tải thủy chiến lược kết nối TP. Hồ Chí Minh với Bình Dương, Tây Ninh và Campuchia. Tuy nhiên, cầu Bình Triệu 1 được xây dựng trước năm 1975, tĩnh không hiện chỉ khoảng 5,5 m, không đáp ứng khả năng thông thuyền cho tàu, sà lan trọng tải lớn lưu thông.</w:t>
      </w:r>
    </w:p>
    <w:p w14:paraId="48B02751" w14:textId="7FFB5994" w:rsidR="00A22F8D" w:rsidRPr="00DA5C88" w:rsidRDefault="00FE449B" w:rsidP="00890D38">
      <w:pPr>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 xml:space="preserve">- </w:t>
      </w:r>
      <w:r w:rsidR="007F015D" w:rsidRPr="00DA5C88">
        <w:rPr>
          <w:rFonts w:ascii="Times New Roman" w:eastAsia="Times New Roman" w:hAnsi="Times New Roman" w:cs="Times New Roman"/>
          <w:i/>
          <w:iCs/>
          <w:sz w:val="26"/>
          <w:szCs w:val="26"/>
          <w:lang w:val="vi-VN"/>
        </w:rPr>
        <w:t>Hạn chế về luồng lạch bồi lắng và công tác duy tu, nạo vét chưa thường xuyên:</w:t>
      </w:r>
      <w:r w:rsidR="00A22F8D" w:rsidRPr="00DA5C88">
        <w:rPr>
          <w:lang w:val="vi-VN"/>
        </w:rPr>
        <w:t xml:space="preserve"> </w:t>
      </w:r>
      <w:r w:rsidR="00A22F8D" w:rsidRPr="00DA5C88">
        <w:rPr>
          <w:rFonts w:ascii="Times New Roman" w:eastAsia="Times New Roman" w:hAnsi="Times New Roman" w:cs="Times New Roman"/>
          <w:sz w:val="26"/>
          <w:szCs w:val="26"/>
          <w:lang w:val="vi-VN"/>
        </w:rPr>
        <w:t>Bên cạnh trở ngại về tĩnh không cầu, tình trạng bồi lắng luồng lạch và công tác duy tu, nạo vét chưa được thực hiện thường xuyên, kịp thời cũng là một nguyên nhân quan trọng làm giảm hiệu quả vận tải thủy nội địa. Nhiều tuyến luồng trọng điểm như Cái Mép – Thị Vải, Hải Phòng – Quảng Ninh, sông Đồng Nai – Nhà Bè, kênh Hà Nam, kênh Chợ Gạo, kênh Quan Chánh Bố thường xuyên bị bồi lắng do biến động thủy văn, tác động của thủy triều và quá trình khai thác cát, nạo vét cục bộ.</w:t>
      </w:r>
    </w:p>
    <w:p w14:paraId="28E130F5" w14:textId="77777777" w:rsidR="00A22F8D" w:rsidRPr="00DA5C88" w:rsidRDefault="00A22F8D" w:rsidP="00890D38">
      <w:pPr>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Hiện nay, công tác duy tu, bảo trì luồng tuyến vẫn chủ yếu được bố trí bằng nguồn ngân sách hằng năm, dẫn tới thiếu tính ổn định và liên tục. Việc phân bổ vốn nhỏ, rải rác theo năm khiến cơ quan quản lý không thể xây dựng kế hoạch nạo vét dài hạn hoặc cơ chế giám sát định kỳ, dẫn đến tình trạng chỉ xử lý các đoạn luồng cạn mang tính tạm thời. Ở nhiều tuyến sông lớn, độ sâu luồng không đạt chuẩn thiết kế (chỉ đạt 70–80%), gây khó khăn cho tàu có mớn nước lớn lưu thông.</w:t>
      </w:r>
    </w:p>
    <w:p w14:paraId="60832EFC" w14:textId="68A87C72" w:rsidR="00F50420" w:rsidRPr="00DA5C88" w:rsidRDefault="00A22F8D" w:rsidP="00890D38">
      <w:pPr>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Thực tế cho thấy, việc duy tu không thường xuyên làm giảm năng lực vận tải 15–20% mỗi năm, buộc tàu thuyền phải giảm tải hoặc chờ thủy triều lên mới có thể di chuyển. Nhiều doanh nghiệp vận tải phản ánh tình trạng tàu bị mắc cạn, chậm hành trình. Hệ quả là chi phí logistics tăng cao, trong khi hiệu quả khai thác phương tiện suy giảm, ảnh hưởng trực tiếp đến năng lực cạnh tranh của vận tải thủy so với đường bộ.</w:t>
      </w:r>
    </w:p>
    <w:p w14:paraId="1FB63D09" w14:textId="77777777" w:rsidR="001513ED" w:rsidRPr="00DA5C88" w:rsidRDefault="001513ED" w:rsidP="00890D38">
      <w:pPr>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 xml:space="preserve">Với vai trò đặc biệt quan trọng khi đảm nhận tới 30% sản lượng hàng hóa thông qua cả nước, năm 2024, Kênh Hà Nam đoạn từ vũng quay tàu bến cảng container quốc tế Hải Phòng đến khu vực cảng Nam Đình Vũ đã được CTCP Cảng Nam Đình Vũ nạo vét nâng cấp hạ độ sâu luồng từ -7,0m xuống -8,5m, tạo nên một sự thay đổi quan trọng, </w:t>
      </w:r>
      <w:r w:rsidRPr="00DA5C88">
        <w:rPr>
          <w:rFonts w:ascii="Times New Roman" w:eastAsia="Times New Roman" w:hAnsi="Times New Roman" w:cs="Times New Roman"/>
          <w:sz w:val="26"/>
          <w:szCs w:val="26"/>
          <w:lang w:val="vi-VN"/>
        </w:rPr>
        <w:lastRenderedPageBreak/>
        <w:t xml:space="preserve">giúp cân bằng độ sâu luồng 2 miền Nam – Bắc là Khu vực Hồ Chí Minh và Hải Phòng, góp phần điều chỉnh lại tập quán đã tồn tại cố hữu hàng trăm năm của ngành hàng hải phía Bắc. </w:t>
      </w:r>
    </w:p>
    <w:p w14:paraId="7FEE7D1A" w14:textId="2D503FA3" w:rsidR="00A22F8D" w:rsidRPr="00DA5C88" w:rsidRDefault="001513ED" w:rsidP="00890D38">
      <w:pPr>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Tuy nhiên, do tác động của bồi lắng tự nhiên, độ sâu luồng khó thường xuyên đảm bảo độ sâu -8,5m, ảnh hưởng nghiêm trọng đến kế hoạch khai thác, lịch trình tàu và năng lực cạnh tranh của toàn khu vực. Do đó, việc bố trí vốn nạo vét duy tu luồng cần được thực hiện nhanh chóng, kịp thời nhằm đảm bảo tính cam kết với các hãng tàu và giữ vững vị thế cụm cảng quốc gia. Khi tuyến luồng được duy trì độ sâu ổn định -8,5m, tàu có thể ra vào cảng mà không cần phải chờ thủy triều như trước đây, giúp tiết kiệm từ 4-5 tiếng mỗi chuyến – tương đương 15-20% thời gian tàu phải neo đậu. Đồng thời, tải trọng hàng hóa qua luồng cũng được gia tăng đáng kể, ít nhất 30%, tương đương 4.000–5.000 tấn trên mỗi lượt tàu ra hoặc vào, góp phần nâng tổng sản lượng thông qua khu vực Đình Vũ, đặc biệt sản lượng từ các tuyến Nội Á (Nhật Bản, Hàn Quốc, Ấn Độ, ASEAN...).</w:t>
      </w:r>
    </w:p>
    <w:p w14:paraId="23AE73C2" w14:textId="03EC6F02" w:rsidR="00F50420" w:rsidRPr="00DA5C88" w:rsidRDefault="007D161C" w:rsidP="00890D38">
      <w:pPr>
        <w:spacing w:after="120" w:line="240" w:lineRule="auto"/>
        <w:ind w:firstLine="709"/>
        <w:jc w:val="both"/>
        <w:rPr>
          <w:rFonts w:ascii="Times New Roman" w:eastAsia="Times New Roman" w:hAnsi="Times New Roman" w:cs="Times New Roman"/>
          <w:b/>
          <w:i/>
          <w:iCs/>
          <w:sz w:val="26"/>
          <w:szCs w:val="26"/>
          <w:lang w:val="vi-VN"/>
        </w:rPr>
      </w:pPr>
      <w:r w:rsidRPr="00DA5C88">
        <w:rPr>
          <w:rFonts w:ascii="Times New Roman" w:eastAsia="Times New Roman" w:hAnsi="Times New Roman" w:cs="Times New Roman"/>
          <w:b/>
          <w:i/>
          <w:iCs/>
          <w:sz w:val="26"/>
          <w:szCs w:val="26"/>
          <w:lang w:val="vi-VN"/>
        </w:rPr>
        <w:t>1.</w:t>
      </w:r>
      <w:r w:rsidR="00CD22D5" w:rsidRPr="00DA5C88">
        <w:rPr>
          <w:rFonts w:ascii="Times New Roman" w:eastAsia="Times New Roman" w:hAnsi="Times New Roman" w:cs="Times New Roman"/>
          <w:b/>
          <w:i/>
          <w:iCs/>
          <w:sz w:val="26"/>
          <w:szCs w:val="26"/>
          <w:lang w:val="vi-VN"/>
        </w:rPr>
        <w:t xml:space="preserve">2. </w:t>
      </w:r>
      <w:r w:rsidR="00593BB1" w:rsidRPr="00DA5C88">
        <w:rPr>
          <w:rFonts w:ascii="Times New Roman" w:eastAsia="Times New Roman" w:hAnsi="Times New Roman" w:cs="Times New Roman"/>
          <w:b/>
          <w:i/>
          <w:iCs/>
          <w:sz w:val="26"/>
          <w:szCs w:val="26"/>
          <w:lang w:val="vi-VN"/>
        </w:rPr>
        <w:t xml:space="preserve">Đề xuất giải pháp phát triển thủy nội địa </w:t>
      </w:r>
      <w:r w:rsidR="00892C52">
        <w:rPr>
          <w:rFonts w:ascii="Times New Roman" w:eastAsia="Times New Roman" w:hAnsi="Times New Roman" w:cs="Times New Roman"/>
          <w:b/>
          <w:i/>
          <w:iCs/>
          <w:sz w:val="26"/>
          <w:szCs w:val="26"/>
          <w:lang w:val="en-US"/>
        </w:rPr>
        <w:t>-</w:t>
      </w:r>
      <w:r w:rsidR="00593BB1" w:rsidRPr="00DA5C88">
        <w:rPr>
          <w:rFonts w:ascii="Times New Roman" w:eastAsia="Times New Roman" w:hAnsi="Times New Roman" w:cs="Times New Roman"/>
          <w:b/>
          <w:i/>
          <w:iCs/>
          <w:sz w:val="26"/>
          <w:szCs w:val="26"/>
          <w:lang w:val="vi-VN"/>
        </w:rPr>
        <w:t xml:space="preserve"> tiết giảm chi phí logistics </w:t>
      </w:r>
      <w:r w:rsidR="001513ED" w:rsidRPr="00DA5C88">
        <w:rPr>
          <w:rFonts w:ascii="Times New Roman" w:eastAsia="Times New Roman" w:hAnsi="Times New Roman" w:cs="Times New Roman"/>
          <w:b/>
          <w:i/>
          <w:iCs/>
          <w:sz w:val="26"/>
          <w:szCs w:val="26"/>
          <w:lang w:val="vi-VN"/>
        </w:rPr>
        <w:t xml:space="preserve">                      </w:t>
      </w:r>
      <w:r w:rsidR="00593BB1" w:rsidRPr="00DA5C88">
        <w:rPr>
          <w:rFonts w:ascii="Times New Roman" w:eastAsia="Times New Roman" w:hAnsi="Times New Roman" w:cs="Times New Roman"/>
          <w:b/>
          <w:i/>
          <w:iCs/>
          <w:sz w:val="26"/>
          <w:szCs w:val="26"/>
          <w:lang w:val="vi-VN"/>
        </w:rPr>
        <w:t>quốc gia</w:t>
      </w:r>
    </w:p>
    <w:p w14:paraId="769B96C4" w14:textId="6CD7AC06" w:rsidR="00F50420" w:rsidRPr="00DA5C88" w:rsidRDefault="00593BB1" w:rsidP="00890D38">
      <w:pPr>
        <w:spacing w:before="120" w:after="120"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 xml:space="preserve">Trên cơ sở các rào cản về hạ tầng và đầu tư đã được nhận diện, để phát huy tối đa tiềm năng của vận tải thủy nội địa và kéo giảm chi phí logistics quốc gia, </w:t>
      </w:r>
      <w:r w:rsidR="00097697" w:rsidRPr="00DA5C88">
        <w:rPr>
          <w:rFonts w:ascii="Times New Roman" w:eastAsia="Times New Roman" w:hAnsi="Times New Roman" w:cs="Times New Roman"/>
          <w:sz w:val="26"/>
          <w:szCs w:val="26"/>
          <w:lang w:val="vi-VN"/>
        </w:rPr>
        <w:t xml:space="preserve">Hiệp hội </w:t>
      </w:r>
      <w:r w:rsidR="00AC5FD6">
        <w:rPr>
          <w:rFonts w:ascii="Times New Roman" w:eastAsia="Times New Roman" w:hAnsi="Times New Roman" w:cs="Times New Roman"/>
          <w:sz w:val="26"/>
          <w:szCs w:val="26"/>
          <w:lang w:val="en-US"/>
        </w:rPr>
        <w:t>Đại lý, Môi giới và Dịch vụ hàng hải Việt Nam (VISABA) cùng các Hiệp hội lĩnh vực logistics-vận tải/cảng biển</w:t>
      </w:r>
      <w:r w:rsidRPr="00DA5C88">
        <w:rPr>
          <w:rFonts w:ascii="Times New Roman" w:eastAsia="Times New Roman" w:hAnsi="Times New Roman" w:cs="Times New Roman"/>
          <w:sz w:val="26"/>
          <w:szCs w:val="26"/>
          <w:lang w:val="vi-VN"/>
        </w:rPr>
        <w:t xml:space="preserve"> kính đề nghị Thủ tướng Chính phủ xem xét, chỉ đạo các Bộ, ngành và địa phương liên quan</w:t>
      </w:r>
      <w:r w:rsidR="00301B82" w:rsidRPr="00DA5C88">
        <w:rPr>
          <w:rFonts w:ascii="Times New Roman" w:eastAsia="Times New Roman" w:hAnsi="Times New Roman" w:cs="Times New Roman"/>
          <w:sz w:val="26"/>
          <w:szCs w:val="26"/>
          <w:lang w:val="vi-VN"/>
        </w:rPr>
        <w:t xml:space="preserve"> t</w:t>
      </w:r>
      <w:r w:rsidRPr="00DA5C88">
        <w:rPr>
          <w:rFonts w:ascii="Times New Roman" w:eastAsia="Times New Roman" w:hAnsi="Times New Roman" w:cs="Times New Roman"/>
          <w:sz w:val="26"/>
          <w:szCs w:val="26"/>
          <w:lang w:val="vi-VN"/>
        </w:rPr>
        <w:t>ăng cường đầu tư công cho vận tải thủy nội địa lên tối thiểu 10% trong tổng tỷ trọng vốn đầu tư công toàn ngành giao thông. Đồng thời, cần chỉ đạo duy tu hạ tầng thường xuyên và triển khai quyết liệt các dự án trọng điểm nhằm tháo gỡ triệt để các “điểm nghẽn” kỹ thuật hiện nay. Các nhóm giải pháp tập trung vào ba hướng chính:</w:t>
      </w:r>
      <w:r w:rsidR="00301B82" w:rsidRPr="00DA5C88">
        <w:rPr>
          <w:rFonts w:ascii="Times New Roman" w:eastAsia="Times New Roman" w:hAnsi="Times New Roman" w:cs="Times New Roman"/>
          <w:sz w:val="26"/>
          <w:szCs w:val="26"/>
          <w:lang w:val="vi-VN"/>
        </w:rPr>
        <w:t xml:space="preserve"> </w:t>
      </w:r>
      <w:r w:rsidRPr="00DA5C88">
        <w:rPr>
          <w:rFonts w:ascii="Times New Roman" w:eastAsia="Times New Roman" w:hAnsi="Times New Roman" w:cs="Times New Roman"/>
          <w:sz w:val="26"/>
          <w:szCs w:val="26"/>
          <w:lang w:val="vi-VN"/>
        </w:rPr>
        <w:t>(i) nâng cao năng lực hạ tầng luồng tuyến, (ii) khơi thông hành lang kỹ thuật tĩnh không cầu, và (iii) đẩy nhanh tiến độ các dự án then chốt (như Kênh Hà Nam). Trong đó:</w:t>
      </w:r>
    </w:p>
    <w:p w14:paraId="49F3CD5F" w14:textId="01EBE35F" w:rsidR="00F50420" w:rsidRPr="00DA5C88" w:rsidRDefault="00CD22D5" w:rsidP="00890D38">
      <w:pPr>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 xml:space="preserve">- </w:t>
      </w:r>
      <w:r w:rsidR="00593BB1" w:rsidRPr="00DA5C88">
        <w:rPr>
          <w:rFonts w:ascii="Times New Roman" w:eastAsia="Times New Roman" w:hAnsi="Times New Roman" w:cs="Times New Roman"/>
          <w:sz w:val="26"/>
          <w:szCs w:val="26"/>
          <w:lang w:val="vi-VN"/>
        </w:rPr>
        <w:t xml:space="preserve">Ưu tiên rà soát, nâng cấp hạ tầng thủy nội địa trọng điểm, đặc biệt xử lý các điểm nghẽn về luồng lạch, cầu vượt sông có tĩnh không thấp; tiếp tục duy tu và nâng cấp tuyến luồng kênh trọng điểm tại khu vực Hải Phòng và Cái Mép </w:t>
      </w:r>
      <w:r w:rsidR="00AC5FD6">
        <w:rPr>
          <w:rFonts w:ascii="Times New Roman" w:eastAsia="Times New Roman" w:hAnsi="Times New Roman" w:cs="Times New Roman"/>
          <w:sz w:val="26"/>
          <w:szCs w:val="26"/>
          <w:lang w:val="en-US"/>
        </w:rPr>
        <w:t>-</w:t>
      </w:r>
      <w:r w:rsidR="00593BB1" w:rsidRPr="00DA5C88">
        <w:rPr>
          <w:rFonts w:ascii="Times New Roman" w:eastAsia="Times New Roman" w:hAnsi="Times New Roman" w:cs="Times New Roman"/>
          <w:sz w:val="26"/>
          <w:szCs w:val="26"/>
          <w:lang w:val="vi-VN"/>
        </w:rPr>
        <w:t xml:space="preserve"> Thị Vải.</w:t>
      </w:r>
    </w:p>
    <w:p w14:paraId="291A8C35" w14:textId="1261E979" w:rsidR="00F50420" w:rsidRPr="00DA5C88" w:rsidRDefault="00CD22D5" w:rsidP="00890D38">
      <w:pPr>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 xml:space="preserve">- </w:t>
      </w:r>
      <w:r w:rsidR="00593BB1" w:rsidRPr="00DA5C88">
        <w:rPr>
          <w:rFonts w:ascii="Times New Roman" w:eastAsia="Times New Roman" w:hAnsi="Times New Roman" w:cs="Times New Roman"/>
          <w:sz w:val="26"/>
          <w:szCs w:val="26"/>
          <w:lang w:val="vi-VN"/>
        </w:rPr>
        <w:t xml:space="preserve">Đặc biệt cần khẩn trương triển khai công tác duy tu, nạo vét luồng Kênh Hà Nam định kỳ, nhằm đảm bảo độ sâu chuẩn -8,5m đã được công bố chính thức và duy trì </w:t>
      </w:r>
      <w:r w:rsidR="00593BB1" w:rsidRPr="00DA5C88">
        <w:rPr>
          <w:rFonts w:ascii="Times New Roman" w:eastAsia="Times New Roman" w:hAnsi="Times New Roman" w:cs="Times New Roman"/>
          <w:sz w:val="26"/>
          <w:szCs w:val="26"/>
          <w:lang w:val="vi-VN"/>
        </w:rPr>
        <w:lastRenderedPageBreak/>
        <w:t>tạo sự ổn định, lâu dài đảm bảo cho các hãng tàu có thể lập kế hoạch dài hạn, giữ vững niềm tin của nhà đầu tư và các bên sử dụng dịch vụ cảng biển</w:t>
      </w:r>
      <w:r w:rsidR="0043247A" w:rsidRPr="00DA5C88">
        <w:rPr>
          <w:rFonts w:ascii="Times New Roman" w:eastAsia="Times New Roman" w:hAnsi="Times New Roman" w:cs="Times New Roman"/>
          <w:sz w:val="26"/>
          <w:szCs w:val="26"/>
          <w:lang w:val="vi-VN"/>
        </w:rPr>
        <w:t>;</w:t>
      </w:r>
      <w:r w:rsidR="00593BB1" w:rsidRPr="00DA5C88">
        <w:rPr>
          <w:rFonts w:ascii="Times New Roman" w:eastAsia="Times New Roman" w:hAnsi="Times New Roman" w:cs="Times New Roman"/>
          <w:sz w:val="26"/>
          <w:szCs w:val="26"/>
          <w:lang w:val="vi-VN"/>
        </w:rPr>
        <w:t xml:space="preserve"> Tiếp tục nghiên cứu và lập kế hoạch sớm mở rộng luồng Kênh Hà Nam lưu thông 2 chiều lên 150m và độ sâu -9.5m từ năm 2026 trở đi, đáp ứng yêu cầu phát triển dài hạn và nâng cao năng lực tiếp nhận tàu trọng tải lớn, phù hợp với định hướng quy hoạch phát triển cảng biển phía Bắc, tăng cường năng lực cạnh tranh của khu vực Hải Phòng.</w:t>
      </w:r>
    </w:p>
    <w:p w14:paraId="7A8186CC" w14:textId="23BBAD5D" w:rsidR="00F50420" w:rsidRDefault="00CD22D5" w:rsidP="00890D38">
      <w:pPr>
        <w:spacing w:line="360" w:lineRule="auto"/>
        <w:ind w:firstLine="709"/>
        <w:jc w:val="both"/>
        <w:rPr>
          <w:rFonts w:ascii="Times New Roman" w:eastAsia="Times New Roman" w:hAnsi="Times New Roman" w:cs="Times New Roman"/>
          <w:sz w:val="26"/>
          <w:szCs w:val="26"/>
          <w:lang w:val="en-US"/>
        </w:rPr>
      </w:pPr>
      <w:r w:rsidRPr="00DA5C88">
        <w:rPr>
          <w:rFonts w:ascii="Times New Roman" w:eastAsia="Times New Roman" w:hAnsi="Times New Roman" w:cs="Times New Roman"/>
          <w:sz w:val="26"/>
          <w:szCs w:val="26"/>
          <w:lang w:val="vi-VN"/>
        </w:rPr>
        <w:t xml:space="preserve">- </w:t>
      </w:r>
      <w:r w:rsidR="0043247A" w:rsidRPr="00DA5C88">
        <w:rPr>
          <w:rFonts w:ascii="Times New Roman" w:eastAsia="Times New Roman" w:hAnsi="Times New Roman" w:cs="Times New Roman"/>
          <w:sz w:val="26"/>
          <w:szCs w:val="26"/>
          <w:lang w:val="vi-VN"/>
        </w:rPr>
        <w:t>T</w:t>
      </w:r>
      <w:r w:rsidR="00593BB1" w:rsidRPr="00DA5C88">
        <w:rPr>
          <w:rFonts w:ascii="Times New Roman" w:eastAsia="Times New Roman" w:hAnsi="Times New Roman" w:cs="Times New Roman"/>
          <w:sz w:val="26"/>
          <w:szCs w:val="26"/>
          <w:lang w:val="vi-VN"/>
        </w:rPr>
        <w:t>ạo cơ chế khuyến khích xã hội hóa, cho phép doanh nghiệp, hiệp hội ngành nghề tham gia quy hoạch, đầu tư cảng bến thủy nội địa; ban hành chính sách ưu đãi về tín dụng, thuế để thu hút đầu tư tư nhân vào hạ tầng vận tải thủy hiện đại, quy mô lớn.</w:t>
      </w:r>
    </w:p>
    <w:p w14:paraId="561D2D21" w14:textId="3EF709D9" w:rsidR="00F50420" w:rsidRPr="00DA5C88" w:rsidRDefault="007D161C" w:rsidP="00890D38">
      <w:pPr>
        <w:pStyle w:val="Heading1"/>
        <w:spacing w:before="0" w:after="0" w:line="360" w:lineRule="auto"/>
        <w:ind w:firstLine="709"/>
        <w:jc w:val="both"/>
        <w:rPr>
          <w:rFonts w:ascii="Times New Roman" w:eastAsia="Times New Roman" w:hAnsi="Times New Roman" w:cs="Times New Roman"/>
          <w:b/>
          <w:sz w:val="26"/>
          <w:szCs w:val="26"/>
          <w:lang w:val="vi-VN"/>
        </w:rPr>
      </w:pPr>
      <w:bookmarkStart w:id="5" w:name="_uc487ammpmzu" w:colFirst="0" w:colLast="0"/>
      <w:bookmarkEnd w:id="5"/>
      <w:r w:rsidRPr="00DA5C88">
        <w:rPr>
          <w:rFonts w:ascii="Times New Roman" w:eastAsia="Times New Roman" w:hAnsi="Times New Roman" w:cs="Times New Roman"/>
          <w:b/>
          <w:sz w:val="26"/>
          <w:szCs w:val="26"/>
          <w:lang w:val="vi-VN"/>
        </w:rPr>
        <w:t>2</w:t>
      </w:r>
      <w:r w:rsidR="00593BB1" w:rsidRPr="00DA5C88">
        <w:rPr>
          <w:rFonts w:ascii="Times New Roman" w:eastAsia="Times New Roman" w:hAnsi="Times New Roman" w:cs="Times New Roman"/>
          <w:b/>
          <w:sz w:val="26"/>
          <w:szCs w:val="26"/>
          <w:lang w:val="vi-VN"/>
        </w:rPr>
        <w:t>. Các vướng mắc và tác động thực tế của việc triển khai Nghị định 168/2024/NĐ-CP (Nghị định 168) về đường bộ</w:t>
      </w:r>
    </w:p>
    <w:p w14:paraId="38592FEB" w14:textId="30275508" w:rsidR="00F50420" w:rsidRPr="00DA5C88" w:rsidRDefault="007D161C" w:rsidP="00890D38">
      <w:pPr>
        <w:pStyle w:val="Heading2"/>
        <w:spacing w:before="0" w:after="0" w:line="360" w:lineRule="auto"/>
        <w:ind w:firstLine="709"/>
        <w:jc w:val="both"/>
        <w:rPr>
          <w:rFonts w:ascii="Times New Roman" w:eastAsia="Times New Roman" w:hAnsi="Times New Roman" w:cs="Times New Roman"/>
          <w:b/>
          <w:sz w:val="26"/>
          <w:szCs w:val="26"/>
          <w:lang w:val="vi-VN"/>
        </w:rPr>
      </w:pPr>
      <w:bookmarkStart w:id="6" w:name="_hzjevwtwqqby" w:colFirst="0" w:colLast="0"/>
      <w:bookmarkEnd w:id="6"/>
      <w:r w:rsidRPr="00DA5C88">
        <w:rPr>
          <w:rFonts w:ascii="Times New Roman" w:eastAsia="Times New Roman" w:hAnsi="Times New Roman" w:cs="Times New Roman"/>
          <w:b/>
          <w:sz w:val="26"/>
          <w:szCs w:val="26"/>
          <w:lang w:val="vi-VN"/>
        </w:rPr>
        <w:t>2.</w:t>
      </w:r>
      <w:r w:rsidR="00C67327" w:rsidRPr="00DA5C88">
        <w:rPr>
          <w:rFonts w:ascii="Times New Roman" w:eastAsia="Times New Roman" w:hAnsi="Times New Roman" w:cs="Times New Roman"/>
          <w:b/>
          <w:sz w:val="26"/>
          <w:szCs w:val="26"/>
          <w:lang w:val="vi-VN"/>
        </w:rPr>
        <w:t xml:space="preserve">1. </w:t>
      </w:r>
      <w:r w:rsidR="00593BB1" w:rsidRPr="00DA5C88">
        <w:rPr>
          <w:rFonts w:ascii="Times New Roman" w:eastAsia="Times New Roman" w:hAnsi="Times New Roman" w:cs="Times New Roman"/>
          <w:b/>
          <w:sz w:val="26"/>
          <w:szCs w:val="26"/>
          <w:lang w:val="vi-VN"/>
        </w:rPr>
        <w:t xml:space="preserve">Các vướng mắc và tác động thực tế </w:t>
      </w:r>
    </w:p>
    <w:p w14:paraId="7418CC98" w14:textId="51251D46" w:rsidR="00EB09FF" w:rsidRPr="00DA5C88" w:rsidRDefault="00EB09FF" w:rsidP="00890D38">
      <w:pPr>
        <w:widowControl w:val="0"/>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 xml:space="preserve">Ngày 01/01/2025, Nghị định số 168/2024/NĐ-CP của Chính phủ chính thức có hiệu lực, quy định chi tiết việc xử phạt vi phạm hành chính trong lĩnh vực giao thông đường bộ và bổ sung cơ chế quản lý thời gian làm việc của người lái xe ô tô kinh doanh vận tải. Theo Nghị định, lái xe không được điều khiển xe liên tục quá 4 giờ, phải nghỉ ít nhất 15 phút giữa các ca, không quá 10 giờ trong một ngày và 48 giờ trong một tuần. Đồng thời, các vi phạm bị xử lý kèm trừ điểm giấy phép lái xe (GPLX) </w:t>
      </w:r>
      <w:r w:rsidR="00AC5FD6">
        <w:rPr>
          <w:rFonts w:ascii="Times New Roman" w:eastAsia="Times New Roman" w:hAnsi="Times New Roman" w:cs="Times New Roman"/>
          <w:sz w:val="26"/>
          <w:szCs w:val="26"/>
          <w:lang w:val="en-US"/>
        </w:rPr>
        <w:t>-</w:t>
      </w:r>
      <w:r w:rsidRPr="00DA5C88">
        <w:rPr>
          <w:rFonts w:ascii="Times New Roman" w:eastAsia="Times New Roman" w:hAnsi="Times New Roman" w:cs="Times New Roman"/>
          <w:sz w:val="26"/>
          <w:szCs w:val="26"/>
          <w:lang w:val="vi-VN"/>
        </w:rPr>
        <w:t xml:space="preserve"> một cơ chế mới được kỳ vọng sẽ nâng cao ý thức và đảm bảo an toàn giao thông.</w:t>
      </w:r>
    </w:p>
    <w:p w14:paraId="42E43325" w14:textId="659D873D" w:rsidR="00F50420" w:rsidRPr="00DA5C88" w:rsidRDefault="00EB09FF" w:rsidP="00890D38">
      <w:pPr>
        <w:widowControl w:val="0"/>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Tuy nhiên, trong quá trình triển khai, nhiều doanh nghiệp logistics, vận tải container và các hiệp hội ngành nghề phản ánh rằng một số quy định trong Nghị định chưa phù hợp với đặc thù vận tải hàng hóa đường dài, gây khó khăn trong tổ chức khai thác, làm giảm hiệu suất vận hành và gia tăng chi phí logistics.</w:t>
      </w:r>
      <w:r w:rsidR="00593BB1" w:rsidRPr="00DA5C88">
        <w:rPr>
          <w:rFonts w:ascii="Times New Roman" w:eastAsia="Times New Roman" w:hAnsi="Times New Roman" w:cs="Times New Roman"/>
          <w:sz w:val="26"/>
          <w:szCs w:val="26"/>
          <w:lang w:val="vi-VN"/>
        </w:rPr>
        <w:t xml:space="preserve"> Cụ thể</w:t>
      </w:r>
      <w:r w:rsidRPr="00DA5C88">
        <w:rPr>
          <w:rFonts w:ascii="Times New Roman" w:eastAsia="Times New Roman" w:hAnsi="Times New Roman" w:cs="Times New Roman"/>
          <w:sz w:val="26"/>
          <w:szCs w:val="26"/>
          <w:lang w:val="vi-VN"/>
        </w:rPr>
        <w:t xml:space="preserve"> như sau</w:t>
      </w:r>
      <w:r w:rsidR="00593BB1" w:rsidRPr="00DA5C88">
        <w:rPr>
          <w:rFonts w:ascii="Times New Roman" w:eastAsia="Times New Roman" w:hAnsi="Times New Roman" w:cs="Times New Roman"/>
          <w:sz w:val="26"/>
          <w:szCs w:val="26"/>
          <w:lang w:val="vi-VN"/>
        </w:rPr>
        <w:t>:</w:t>
      </w:r>
    </w:p>
    <w:p w14:paraId="75924C4E" w14:textId="68D252B2" w:rsidR="001E3DD8" w:rsidRPr="00DA5C88" w:rsidRDefault="00C67327" w:rsidP="00890D38">
      <w:pPr>
        <w:widowControl w:val="0"/>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b/>
          <w:sz w:val="26"/>
          <w:szCs w:val="26"/>
          <w:lang w:val="vi-VN"/>
        </w:rPr>
        <w:t xml:space="preserve">- </w:t>
      </w:r>
      <w:r w:rsidR="00593BB1" w:rsidRPr="00DA5C88">
        <w:rPr>
          <w:rFonts w:ascii="Times New Roman" w:eastAsia="Times New Roman" w:hAnsi="Times New Roman" w:cs="Times New Roman"/>
          <w:b/>
          <w:sz w:val="26"/>
          <w:szCs w:val="26"/>
          <w:lang w:val="vi-VN"/>
        </w:rPr>
        <w:t>Giới hạn thời gian làm việc gây giảm hiệu suất khai thác</w:t>
      </w:r>
      <w:r w:rsidR="00593BB1" w:rsidRPr="00DA5C88">
        <w:rPr>
          <w:rFonts w:ascii="Times New Roman" w:eastAsia="Times New Roman" w:hAnsi="Times New Roman" w:cs="Times New Roman"/>
          <w:sz w:val="26"/>
          <w:szCs w:val="26"/>
          <w:lang w:val="vi-VN"/>
        </w:rPr>
        <w:t xml:space="preserve">: Quy định không lái xe liên tục quá 4 giờ và tổng thời gian làm việc tối đa 10 giờ/ngày, 48 giờ/tuần đang làm giảm đáng kể năng lực vận hành thực tế của đội xe. </w:t>
      </w:r>
      <w:r w:rsidR="001E3DD8" w:rsidRPr="00DA5C88">
        <w:rPr>
          <w:rFonts w:ascii="Times New Roman" w:eastAsia="Times New Roman" w:hAnsi="Times New Roman" w:cs="Times New Roman"/>
          <w:sz w:val="26"/>
          <w:szCs w:val="26"/>
          <w:lang w:val="vi-VN"/>
        </w:rPr>
        <w:t>Theo phản ánh của các doanh nghiệp vận tải container tại Hải Phòng, Đồng Nai và TP. Hồ Chí Minh, tuyến đường 300</w:t>
      </w:r>
      <w:r w:rsidR="00AC5FD6">
        <w:rPr>
          <w:rFonts w:ascii="Times New Roman" w:eastAsia="Times New Roman" w:hAnsi="Times New Roman" w:cs="Times New Roman"/>
          <w:sz w:val="26"/>
          <w:szCs w:val="26"/>
          <w:lang w:val="en-US"/>
        </w:rPr>
        <w:t xml:space="preserve"> - </w:t>
      </w:r>
      <w:r w:rsidR="001E3DD8" w:rsidRPr="00DA5C88">
        <w:rPr>
          <w:rFonts w:ascii="Times New Roman" w:eastAsia="Times New Roman" w:hAnsi="Times New Roman" w:cs="Times New Roman"/>
          <w:sz w:val="26"/>
          <w:szCs w:val="26"/>
          <w:lang w:val="vi-VN"/>
        </w:rPr>
        <w:t>400 km hiện chỉ đủ thời gian cho 1 chiều vận chuyển, buộc xe phải “ôm hàng” qua đêm để quay đầu hôm sau, khiến vòng quay phương tiện giảm gần 30%.</w:t>
      </w:r>
    </w:p>
    <w:p w14:paraId="478AF1C0" w14:textId="42B5E451" w:rsidR="00F50420" w:rsidRPr="00DA5C88" w:rsidRDefault="001E3DD8" w:rsidP="00890D38">
      <w:pPr>
        <w:widowControl w:val="0"/>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 xml:space="preserve">Đối với tuyến dài như Bắc </w:t>
      </w:r>
      <w:r w:rsidR="00AC5FD6">
        <w:rPr>
          <w:rFonts w:ascii="Times New Roman" w:eastAsia="Times New Roman" w:hAnsi="Times New Roman" w:cs="Times New Roman"/>
          <w:sz w:val="26"/>
          <w:szCs w:val="26"/>
          <w:lang w:val="en-US"/>
        </w:rPr>
        <w:t>-</w:t>
      </w:r>
      <w:r w:rsidRPr="00DA5C88">
        <w:rPr>
          <w:rFonts w:ascii="Times New Roman" w:eastAsia="Times New Roman" w:hAnsi="Times New Roman" w:cs="Times New Roman"/>
          <w:sz w:val="26"/>
          <w:szCs w:val="26"/>
          <w:lang w:val="vi-VN"/>
        </w:rPr>
        <w:t xml:space="preserve"> Nam, để tuân thủ Nghị định, doanh nghiệp phải bố trí 2</w:t>
      </w:r>
      <w:r w:rsidR="00AC5FD6">
        <w:rPr>
          <w:rFonts w:ascii="Times New Roman" w:eastAsia="Times New Roman" w:hAnsi="Times New Roman" w:cs="Times New Roman"/>
          <w:sz w:val="26"/>
          <w:szCs w:val="26"/>
          <w:lang w:val="en-US"/>
        </w:rPr>
        <w:t xml:space="preserve"> - </w:t>
      </w:r>
      <w:r w:rsidRPr="00DA5C88">
        <w:rPr>
          <w:rFonts w:ascii="Times New Roman" w:eastAsia="Times New Roman" w:hAnsi="Times New Roman" w:cs="Times New Roman"/>
          <w:sz w:val="26"/>
          <w:szCs w:val="26"/>
          <w:lang w:val="vi-VN"/>
        </w:rPr>
        <w:t>3 tài xế/xe, trong khi cabin xe container chỉ có 2 chỗ ngồi. Chi phí nhân sự tăng                   20</w:t>
      </w:r>
      <w:r w:rsidR="00AC5FD6">
        <w:rPr>
          <w:rFonts w:ascii="Times New Roman" w:eastAsia="Times New Roman" w:hAnsi="Times New Roman" w:cs="Times New Roman"/>
          <w:sz w:val="26"/>
          <w:szCs w:val="26"/>
          <w:lang w:val="en-US"/>
        </w:rPr>
        <w:t xml:space="preserve"> - </w:t>
      </w:r>
      <w:r w:rsidRPr="00DA5C88">
        <w:rPr>
          <w:rFonts w:ascii="Times New Roman" w:eastAsia="Times New Roman" w:hAnsi="Times New Roman" w:cs="Times New Roman"/>
          <w:sz w:val="26"/>
          <w:szCs w:val="26"/>
          <w:lang w:val="vi-VN"/>
        </w:rPr>
        <w:t xml:space="preserve">25%, nhưng giá dịch vụ vận tải không thể tăng tương ứng, khiến nhiều doanh nghiệp </w:t>
      </w:r>
      <w:r w:rsidRPr="00DA5C88">
        <w:rPr>
          <w:rFonts w:ascii="Times New Roman" w:eastAsia="Times New Roman" w:hAnsi="Times New Roman" w:cs="Times New Roman"/>
          <w:sz w:val="26"/>
          <w:szCs w:val="26"/>
          <w:lang w:val="vi-VN"/>
        </w:rPr>
        <w:lastRenderedPageBreak/>
        <w:t>nhỏ và nhà thầu phụ (sub-vendor) phải tạm ngưng khai thác, dẫn tới thiếu phương tiện và tăng áp lực chi phí logistics cho toàn chuỗi.</w:t>
      </w:r>
    </w:p>
    <w:p w14:paraId="6E31F1DE" w14:textId="4C29336C" w:rsidR="004C0B1D" w:rsidRPr="00DA5C88" w:rsidRDefault="00C67327" w:rsidP="00890D38">
      <w:pPr>
        <w:widowControl w:val="0"/>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b/>
          <w:sz w:val="26"/>
          <w:szCs w:val="26"/>
          <w:lang w:val="vi-VN"/>
        </w:rPr>
        <w:t xml:space="preserve">- </w:t>
      </w:r>
      <w:r w:rsidR="00593BB1" w:rsidRPr="00DA5C88">
        <w:rPr>
          <w:rFonts w:ascii="Times New Roman" w:eastAsia="Times New Roman" w:hAnsi="Times New Roman" w:cs="Times New Roman"/>
          <w:b/>
          <w:sz w:val="26"/>
          <w:szCs w:val="26"/>
          <w:lang w:val="vi-VN"/>
        </w:rPr>
        <w:t xml:space="preserve">Khó khăn trong bố trí điểm dừng, nghỉ giữa ca: </w:t>
      </w:r>
      <w:r w:rsidR="004C0B1D" w:rsidRPr="00DA5C88">
        <w:rPr>
          <w:rFonts w:ascii="Times New Roman" w:eastAsia="Times New Roman" w:hAnsi="Times New Roman" w:cs="Times New Roman"/>
          <w:sz w:val="26"/>
          <w:szCs w:val="26"/>
          <w:lang w:val="vi-VN"/>
        </w:rPr>
        <w:t xml:space="preserve">Thực tế hiện nay, trên quốc lộ, cao tốc và đường đô thị, rất hiếm điểm dừng đỗ đủ điều kiện để lái xe nghỉ 15 phút đúng quy định. Việc tìm chỗ dừng an toàn thường mất nhiều thời gian, và nếu dừng không đúng nơi quy định, lái xe lại có nguy cơ bị xử phạt và nhiều tài xế phản ánh tình trạng “nghỉ thì vi phạm </w:t>
      </w:r>
      <w:r w:rsidR="00AC5FD6">
        <w:rPr>
          <w:rFonts w:ascii="Times New Roman" w:eastAsia="Times New Roman" w:hAnsi="Times New Roman" w:cs="Times New Roman"/>
          <w:sz w:val="26"/>
          <w:szCs w:val="26"/>
          <w:lang w:val="en-US"/>
        </w:rPr>
        <w:t>-</w:t>
      </w:r>
      <w:r w:rsidR="004C0B1D" w:rsidRPr="00DA5C88">
        <w:rPr>
          <w:rFonts w:ascii="Times New Roman" w:eastAsia="Times New Roman" w:hAnsi="Times New Roman" w:cs="Times New Roman"/>
          <w:sz w:val="26"/>
          <w:szCs w:val="26"/>
          <w:lang w:val="vi-VN"/>
        </w:rPr>
        <w:t xml:space="preserve"> chạy tiếp thì cũng vi phạm”. Hệ quả là việc tuân thủ thời gian nghỉ trở nên hình thức, đồng thời kéo dài tổng hành trình, gây trễ tiến độ giao hàng.             Một số doanh nghiệp logistics cho biết, chỉ riêng khâu chờ đợi, tắc đường, tìm điểm nghỉ cũng đã khiến tỷ lệ giao hàng đúng giờ giảm 10</w:t>
      </w:r>
      <w:r w:rsidR="00AC5FD6">
        <w:rPr>
          <w:rFonts w:ascii="Times New Roman" w:eastAsia="Times New Roman" w:hAnsi="Times New Roman" w:cs="Times New Roman"/>
          <w:sz w:val="26"/>
          <w:szCs w:val="26"/>
          <w:lang w:val="en-US"/>
        </w:rPr>
        <w:t xml:space="preserve"> - </w:t>
      </w:r>
      <w:r w:rsidR="004C0B1D" w:rsidRPr="00DA5C88">
        <w:rPr>
          <w:rFonts w:ascii="Times New Roman" w:eastAsia="Times New Roman" w:hAnsi="Times New Roman" w:cs="Times New Roman"/>
          <w:sz w:val="26"/>
          <w:szCs w:val="26"/>
          <w:lang w:val="vi-VN"/>
        </w:rPr>
        <w:t>15% so với trước khi Nghị định có              hiệu lực.</w:t>
      </w:r>
    </w:p>
    <w:p w14:paraId="7D48D5B8" w14:textId="5D78C761" w:rsidR="002024E0" w:rsidRPr="00DA5C88" w:rsidRDefault="00C67327" w:rsidP="00890D38">
      <w:pPr>
        <w:widowControl w:val="0"/>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b/>
          <w:sz w:val="26"/>
          <w:szCs w:val="26"/>
          <w:lang w:val="vi-VN"/>
        </w:rPr>
        <w:t xml:space="preserve">- </w:t>
      </w:r>
      <w:r w:rsidR="00593BB1" w:rsidRPr="00DA5C88">
        <w:rPr>
          <w:rFonts w:ascii="Times New Roman" w:eastAsia="Times New Roman" w:hAnsi="Times New Roman" w:cs="Times New Roman"/>
          <w:b/>
          <w:sz w:val="26"/>
          <w:szCs w:val="26"/>
          <w:lang w:val="vi-VN"/>
        </w:rPr>
        <w:t xml:space="preserve">Tác động tâm lý và </w:t>
      </w:r>
      <w:r w:rsidR="0043247A" w:rsidRPr="00DA5C88">
        <w:rPr>
          <w:rFonts w:ascii="Times New Roman" w:eastAsia="Times New Roman" w:hAnsi="Times New Roman" w:cs="Times New Roman"/>
          <w:b/>
          <w:sz w:val="26"/>
          <w:szCs w:val="26"/>
          <w:lang w:val="vi-VN"/>
        </w:rPr>
        <w:t xml:space="preserve">ảnh hưởng đến </w:t>
      </w:r>
      <w:r w:rsidR="00593BB1" w:rsidRPr="00DA5C88">
        <w:rPr>
          <w:rFonts w:ascii="Times New Roman" w:eastAsia="Times New Roman" w:hAnsi="Times New Roman" w:cs="Times New Roman"/>
          <w:b/>
          <w:sz w:val="26"/>
          <w:szCs w:val="26"/>
          <w:lang w:val="vi-VN"/>
        </w:rPr>
        <w:t xml:space="preserve">nguồn nhân lực lái xe: </w:t>
      </w:r>
      <w:r w:rsidR="002024E0" w:rsidRPr="00DA5C88">
        <w:rPr>
          <w:rFonts w:ascii="Times New Roman" w:eastAsia="Times New Roman" w:hAnsi="Times New Roman" w:cs="Times New Roman"/>
          <w:sz w:val="26"/>
          <w:szCs w:val="26"/>
          <w:lang w:val="vi-VN"/>
        </w:rPr>
        <w:t>Việc kết hợp mức phạt cao và cơ chế trừ điểm GPLX khiến tài xế tâm lý căng thẳng, lo ngại bị mất việc do lỗi hành chính. Sau Tết Nguyên đán 2025, nhiều doanh nghiệp ghi nhận làn sóng tài xế xin nghỉ việc hoặc từ chối nhận chuyến dài, làm trầm trọng thêm tình trạng thiếu hụt nhân lực lái xe vốn đã kéo dài từ năm 2024. Theo thống kê sơ bộ của một số công ty logistics bên thứ 3 (3PL) lớn, số lượng tài xế nghỉ việc tăng 15</w:t>
      </w:r>
      <w:r w:rsidR="00AC5FD6">
        <w:rPr>
          <w:rFonts w:ascii="Times New Roman" w:eastAsia="Times New Roman" w:hAnsi="Times New Roman" w:cs="Times New Roman"/>
          <w:sz w:val="26"/>
          <w:szCs w:val="26"/>
          <w:lang w:val="en-US"/>
        </w:rPr>
        <w:t xml:space="preserve"> - </w:t>
      </w:r>
      <w:r w:rsidR="002024E0" w:rsidRPr="00DA5C88">
        <w:rPr>
          <w:rFonts w:ascii="Times New Roman" w:eastAsia="Times New Roman" w:hAnsi="Times New Roman" w:cs="Times New Roman"/>
          <w:sz w:val="26"/>
          <w:szCs w:val="26"/>
          <w:lang w:val="vi-VN"/>
        </w:rPr>
        <w:t xml:space="preserve">20% chỉ trong quý I/2025, dẫn đến thiếu xe khai thác trên các tuyến Bắc </w:t>
      </w:r>
      <w:r w:rsidR="00AC5FD6">
        <w:rPr>
          <w:rFonts w:ascii="Times New Roman" w:eastAsia="Times New Roman" w:hAnsi="Times New Roman" w:cs="Times New Roman"/>
          <w:sz w:val="26"/>
          <w:szCs w:val="26"/>
          <w:lang w:val="en-US"/>
        </w:rPr>
        <w:t>-</w:t>
      </w:r>
      <w:r w:rsidR="002024E0" w:rsidRPr="00DA5C88">
        <w:rPr>
          <w:rFonts w:ascii="Times New Roman" w:eastAsia="Times New Roman" w:hAnsi="Times New Roman" w:cs="Times New Roman"/>
          <w:sz w:val="26"/>
          <w:szCs w:val="26"/>
          <w:lang w:val="vi-VN"/>
        </w:rPr>
        <w:t xml:space="preserve"> Nam, ảnh hưởng trực tiếp đến kế hoạch chỉ tiêu (KPI) giao nhận hàng hóa cho khách hàng FDI.</w:t>
      </w:r>
    </w:p>
    <w:p w14:paraId="69B73986" w14:textId="5A66CBD0" w:rsidR="00E57EE5" w:rsidRPr="00DA5C88" w:rsidRDefault="00C67327" w:rsidP="00890D38">
      <w:pPr>
        <w:widowControl w:val="0"/>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b/>
          <w:sz w:val="26"/>
          <w:szCs w:val="26"/>
          <w:lang w:val="vi-VN"/>
        </w:rPr>
        <w:t xml:space="preserve">- </w:t>
      </w:r>
      <w:r w:rsidR="00593BB1" w:rsidRPr="00DA5C88">
        <w:rPr>
          <w:rFonts w:ascii="Times New Roman" w:eastAsia="Times New Roman" w:hAnsi="Times New Roman" w:cs="Times New Roman"/>
          <w:b/>
          <w:sz w:val="26"/>
          <w:szCs w:val="26"/>
          <w:lang w:val="vi-VN"/>
        </w:rPr>
        <w:t xml:space="preserve">Bất cập trong hướng dẫn tính giờ và áp dụng thực tế: </w:t>
      </w:r>
      <w:r w:rsidR="00E57EE5" w:rsidRPr="00DA5C88">
        <w:rPr>
          <w:rFonts w:ascii="Times New Roman" w:eastAsia="Times New Roman" w:hAnsi="Times New Roman" w:cs="Times New Roman"/>
          <w:sz w:val="26"/>
          <w:szCs w:val="26"/>
          <w:lang w:val="vi-VN"/>
        </w:rPr>
        <w:t>Do Nghị định 168 chưa có hướng dẫn cụ thể về cách tính thời gian lái xe, nhiều tình huống thực tế như kẹt xe, chờ xếp dỡ tại cảng, nghỉ qua đêm nhưng không tắt máy, hoặc dừng trung chuyển đều không rõ có được tính vào thời gian làm việc hay không.</w:t>
      </w:r>
      <w:r w:rsidR="00A31FF9" w:rsidRPr="00DA5C88">
        <w:rPr>
          <w:rFonts w:ascii="Times New Roman" w:eastAsia="Times New Roman" w:hAnsi="Times New Roman" w:cs="Times New Roman"/>
          <w:sz w:val="26"/>
          <w:szCs w:val="26"/>
          <w:lang w:val="vi-VN"/>
        </w:rPr>
        <w:t xml:space="preserve"> </w:t>
      </w:r>
      <w:r w:rsidR="00E57EE5" w:rsidRPr="00DA5C88">
        <w:rPr>
          <w:rFonts w:ascii="Times New Roman" w:eastAsia="Times New Roman" w:hAnsi="Times New Roman" w:cs="Times New Roman"/>
          <w:sz w:val="26"/>
          <w:szCs w:val="26"/>
          <w:lang w:val="vi-VN"/>
        </w:rPr>
        <w:t>Điều này gây ra sự thiếu thống nhất trong kiểm tra, xử lý vi phạm, dẫn tới tranh cãi giữa lực lượng chức năng và doanh nghiệp. Các công ty vận tải container tại các khu vực cảng biển lớn như Hải Phòng và TP. Hồ Chí Minh phản ánh rằng, do thiếu hướng dẫn chi tiết, các tài xế thường bị phạt do hiểu sai quy định, gây ảnh hưởng tới tinh thần làm việc và quan hệ lao động.</w:t>
      </w:r>
    </w:p>
    <w:p w14:paraId="42B1668D" w14:textId="5C48D110" w:rsidR="00F50420" w:rsidRPr="00DA5C88" w:rsidRDefault="007D161C" w:rsidP="00890D38">
      <w:pPr>
        <w:pStyle w:val="Heading2"/>
        <w:spacing w:before="0" w:after="0" w:line="360" w:lineRule="auto"/>
        <w:ind w:firstLine="709"/>
        <w:jc w:val="both"/>
        <w:rPr>
          <w:rFonts w:ascii="Times New Roman" w:eastAsia="Times New Roman" w:hAnsi="Times New Roman" w:cs="Times New Roman"/>
          <w:b/>
          <w:sz w:val="26"/>
          <w:szCs w:val="26"/>
          <w:lang w:val="vi-VN"/>
        </w:rPr>
      </w:pPr>
      <w:bookmarkStart w:id="7" w:name="_1ixzmfmjcsok" w:colFirst="0" w:colLast="0"/>
      <w:bookmarkEnd w:id="7"/>
      <w:r w:rsidRPr="00DA5C88">
        <w:rPr>
          <w:rFonts w:ascii="Times New Roman" w:eastAsia="Times New Roman" w:hAnsi="Times New Roman" w:cs="Times New Roman"/>
          <w:b/>
          <w:sz w:val="26"/>
          <w:szCs w:val="26"/>
          <w:lang w:val="vi-VN"/>
        </w:rPr>
        <w:t>2.</w:t>
      </w:r>
      <w:r w:rsidR="00C67327" w:rsidRPr="00DA5C88">
        <w:rPr>
          <w:rFonts w:ascii="Times New Roman" w:eastAsia="Times New Roman" w:hAnsi="Times New Roman" w:cs="Times New Roman"/>
          <w:b/>
          <w:sz w:val="26"/>
          <w:szCs w:val="26"/>
          <w:lang w:val="vi-VN"/>
        </w:rPr>
        <w:t xml:space="preserve">2. </w:t>
      </w:r>
      <w:r w:rsidR="00593BB1" w:rsidRPr="00DA5C88">
        <w:rPr>
          <w:rFonts w:ascii="Times New Roman" w:eastAsia="Times New Roman" w:hAnsi="Times New Roman" w:cs="Times New Roman"/>
          <w:b/>
          <w:sz w:val="26"/>
          <w:szCs w:val="26"/>
          <w:lang w:val="vi-VN"/>
        </w:rPr>
        <w:t>So sánh thông lệ quốc tế và bài học chính sách</w:t>
      </w:r>
    </w:p>
    <w:p w14:paraId="2AB816B3" w14:textId="77777777" w:rsidR="00F50420" w:rsidRPr="00DA5C88" w:rsidRDefault="00593BB1" w:rsidP="00890D38">
      <w:pPr>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Kinh nghiệm từ các quốc gia phát triển cho thấy, việc quản lý thời gian làm việc của người lái xe là yếu tố quan trọng để bảo đảm an toàn giao thông, nhưng đa số các nước đều áp dụng cơ chế linh hoạt đối với vận tải hàng hóa đường dài, nhằm cân bằng giữa an toàn và hiệu quả vận hành logistics.</w:t>
      </w:r>
    </w:p>
    <w:p w14:paraId="734BA4F2" w14:textId="0FCCA067" w:rsidR="00F50420" w:rsidRPr="00DA5C88" w:rsidRDefault="00593BB1" w:rsidP="00890D38">
      <w:pPr>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lastRenderedPageBreak/>
        <w:t xml:space="preserve">Tại Hoa Kỳ, quy định về Hours of Service (HOS) được quy định tại Title 49 </w:t>
      </w:r>
      <w:r w:rsidR="00AC5FD6">
        <w:rPr>
          <w:rFonts w:ascii="Times New Roman" w:eastAsia="Times New Roman" w:hAnsi="Times New Roman" w:cs="Times New Roman"/>
          <w:sz w:val="26"/>
          <w:szCs w:val="26"/>
          <w:lang w:val="en-US"/>
        </w:rPr>
        <w:t>-</w:t>
      </w:r>
      <w:r w:rsidRPr="00DA5C88">
        <w:rPr>
          <w:rFonts w:ascii="Times New Roman" w:eastAsia="Times New Roman" w:hAnsi="Times New Roman" w:cs="Times New Roman"/>
          <w:sz w:val="26"/>
          <w:szCs w:val="26"/>
          <w:lang w:val="vi-VN"/>
        </w:rPr>
        <w:t xml:space="preserve"> Code of Federal Regulations (Part 395) do Cơ quan An toàn Vận tải Đường bộ Liên bang (FMCSA) ban hành. Theo đó, lái xe chở hàng (property-carrying drivers) được phép lái tối đa 11 giờ trong khung làm việc 14 giờ mỗi ngày, sau đó phải nghỉ ít nhất 10 giờ liên tục trước khi bắt đầu ca mới. Quy định này được điều chỉnh linh hoạt cho phép lái xe được “chia nhỏ thời gian nghỉ” (split sleeper berth rule), giúp duy trì nhịp vận hành hiệu quả nhưng vẫn đảm bảo nghỉ ngơi đầy đủ (FMCSA, 49 CFR §395).</w:t>
      </w:r>
    </w:p>
    <w:p w14:paraId="3803C28A" w14:textId="77777777" w:rsidR="00F50420" w:rsidRPr="00890D38" w:rsidRDefault="00593BB1" w:rsidP="00890D38">
      <w:pPr>
        <w:spacing w:line="360" w:lineRule="auto"/>
        <w:ind w:firstLine="709"/>
        <w:jc w:val="both"/>
        <w:rPr>
          <w:rFonts w:ascii="Times New Roman" w:eastAsia="Times New Roman" w:hAnsi="Times New Roman" w:cs="Times New Roman"/>
          <w:spacing w:val="-2"/>
          <w:sz w:val="26"/>
          <w:szCs w:val="26"/>
          <w:lang w:val="vi-VN"/>
        </w:rPr>
      </w:pPr>
      <w:r w:rsidRPr="00890D38">
        <w:rPr>
          <w:rFonts w:ascii="Times New Roman" w:eastAsia="Times New Roman" w:hAnsi="Times New Roman" w:cs="Times New Roman"/>
          <w:spacing w:val="-2"/>
          <w:sz w:val="26"/>
          <w:szCs w:val="26"/>
          <w:lang w:val="vi-VN"/>
        </w:rPr>
        <w:t>Tại Liên minh châu Âu (EU), Regulation (EC) No. 561/2006 của Nghị viện và Hội đồng châu Âu quy định thời gian lái xe không vượt quá 9 giờ mỗi ngày, có thể mở rộng lên 10 giờ tối đa hai lần mỗi tuần, và tổng cộng không quá 56 giờ/tuần hoặc 90 giờ trong hai tuần liên tiếp. Trong một số trường hợp, lái xe được phép kéo dài thời gian làm việc lên đến 60 giờ/tuần nếu có nghỉ bù tương ứng sau đó. Quy định này được áp dụng linh hoạt theo loại hình vận tải (hàng hóa hoặc hành khách), vùng hoạt động và có hệ thống giám sát tachograph điện tử để đảm bảo minh bạch (EU Regulation 561/2006; EUR-Lex).</w:t>
      </w:r>
    </w:p>
    <w:p w14:paraId="034AEDE5" w14:textId="46BCE873" w:rsidR="00F50420" w:rsidRPr="00DA5C88" w:rsidRDefault="00593BB1" w:rsidP="00890D38">
      <w:pPr>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Như vậy, có thể thấy mức giới hạn thời gian làm việc của lái xe tại Việt Nam (10 giờ/ngày, 48 giờ/tuần) đang thấp hơn đáng kể so với thông lệ quốc tế từ 20</w:t>
      </w:r>
      <w:r w:rsidR="007C7E4B">
        <w:rPr>
          <w:rFonts w:ascii="Times New Roman" w:eastAsia="Times New Roman" w:hAnsi="Times New Roman" w:cs="Times New Roman"/>
          <w:sz w:val="26"/>
          <w:szCs w:val="26"/>
          <w:lang w:val="en-US"/>
        </w:rPr>
        <w:t xml:space="preserve"> - </w:t>
      </w:r>
      <w:r w:rsidRPr="00DA5C88">
        <w:rPr>
          <w:rFonts w:ascii="Times New Roman" w:eastAsia="Times New Roman" w:hAnsi="Times New Roman" w:cs="Times New Roman"/>
          <w:sz w:val="26"/>
          <w:szCs w:val="26"/>
          <w:lang w:val="vi-VN"/>
        </w:rPr>
        <w:t>25%, trong khi điều kiện hạ tầng giao thông, thời gian tắc đường, năng suất bốc xếp và điểm dừng nghỉ còn hạn chế. Các quốc gia phát triển thường cho phép điều chỉnh khung thời gian đối với vận tải hàng hóa đường dài, kết hợp hệ thống giám sát hành trình tự động và quy định nghỉ ngơi linh hoạt, qua đó vừa bảo đảm an toàn, vừa duy trì năng lực cạnh tranh của chuỗi logistics.</w:t>
      </w:r>
    </w:p>
    <w:p w14:paraId="6C9521C9" w14:textId="7EFA61BB" w:rsidR="00F50420" w:rsidRPr="00DA5C88" w:rsidRDefault="009D3C1F" w:rsidP="00890D38">
      <w:pPr>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Do vậy</w:t>
      </w:r>
      <w:r w:rsidR="004E0447" w:rsidRPr="00DA5C88">
        <w:rPr>
          <w:rFonts w:ascii="Times New Roman" w:eastAsia="Times New Roman" w:hAnsi="Times New Roman" w:cs="Times New Roman"/>
          <w:sz w:val="26"/>
          <w:szCs w:val="26"/>
          <w:lang w:val="vi-VN"/>
        </w:rPr>
        <w:t>,</w:t>
      </w:r>
      <w:r w:rsidR="00593BB1" w:rsidRPr="00DA5C88">
        <w:rPr>
          <w:rFonts w:ascii="Times New Roman" w:eastAsia="Times New Roman" w:hAnsi="Times New Roman" w:cs="Times New Roman"/>
          <w:sz w:val="26"/>
          <w:szCs w:val="26"/>
          <w:lang w:val="vi-VN"/>
        </w:rPr>
        <w:t xml:space="preserve"> Việt Nam là cần xem xét thiết lập cơ chế khung linh hoạt cho vận tải hàng hóa, phân biệt rõ với vận tải hành khách, đồng thời hoàn thiện hệ thống trạm dừng nghỉ và ứng dụng công nghệ giám sát hành trình để quản lý thời gian lái xe theo hướng an toàn </w:t>
      </w:r>
      <w:r w:rsidR="007C7E4B">
        <w:rPr>
          <w:rFonts w:ascii="Times New Roman" w:eastAsia="Times New Roman" w:hAnsi="Times New Roman" w:cs="Times New Roman"/>
          <w:sz w:val="26"/>
          <w:szCs w:val="26"/>
          <w:lang w:val="en-US"/>
        </w:rPr>
        <w:t>-</w:t>
      </w:r>
      <w:r w:rsidR="00593BB1" w:rsidRPr="00DA5C88">
        <w:rPr>
          <w:rFonts w:ascii="Times New Roman" w:eastAsia="Times New Roman" w:hAnsi="Times New Roman" w:cs="Times New Roman"/>
          <w:sz w:val="26"/>
          <w:szCs w:val="26"/>
          <w:lang w:val="vi-VN"/>
        </w:rPr>
        <w:t xml:space="preserve"> hiệu quả </w:t>
      </w:r>
      <w:r w:rsidR="007C7E4B">
        <w:rPr>
          <w:rFonts w:ascii="Times New Roman" w:eastAsia="Times New Roman" w:hAnsi="Times New Roman" w:cs="Times New Roman"/>
          <w:sz w:val="26"/>
          <w:szCs w:val="26"/>
          <w:lang w:val="en-US"/>
        </w:rPr>
        <w:t>-</w:t>
      </w:r>
      <w:r w:rsidR="00593BB1" w:rsidRPr="00DA5C88">
        <w:rPr>
          <w:rFonts w:ascii="Times New Roman" w:eastAsia="Times New Roman" w:hAnsi="Times New Roman" w:cs="Times New Roman"/>
          <w:sz w:val="26"/>
          <w:szCs w:val="26"/>
          <w:lang w:val="vi-VN"/>
        </w:rPr>
        <w:t xml:space="preserve"> khả thi.</w:t>
      </w:r>
    </w:p>
    <w:p w14:paraId="303E13AF" w14:textId="4BF24E78" w:rsidR="00F50420" w:rsidRPr="00DA5C88" w:rsidRDefault="007D161C" w:rsidP="00890D38">
      <w:pPr>
        <w:spacing w:line="360" w:lineRule="auto"/>
        <w:ind w:firstLine="709"/>
        <w:jc w:val="both"/>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2.</w:t>
      </w:r>
      <w:r w:rsidR="00C67327" w:rsidRPr="00DA5C88">
        <w:rPr>
          <w:rFonts w:ascii="Times New Roman" w:eastAsia="Times New Roman" w:hAnsi="Times New Roman" w:cs="Times New Roman"/>
          <w:b/>
          <w:sz w:val="26"/>
          <w:szCs w:val="26"/>
          <w:lang w:val="vi-VN"/>
        </w:rPr>
        <w:t xml:space="preserve">3. </w:t>
      </w:r>
      <w:r w:rsidR="00593BB1" w:rsidRPr="00DA5C88">
        <w:rPr>
          <w:rFonts w:ascii="Times New Roman" w:eastAsia="Times New Roman" w:hAnsi="Times New Roman" w:cs="Times New Roman"/>
          <w:b/>
          <w:sz w:val="26"/>
          <w:szCs w:val="26"/>
          <w:lang w:val="vi-VN"/>
        </w:rPr>
        <w:t>Đề xuất giải pháp</w:t>
      </w:r>
    </w:p>
    <w:p w14:paraId="5885EE20" w14:textId="2B6C692A" w:rsidR="00F50420" w:rsidRPr="00DA5C88" w:rsidRDefault="00593BB1" w:rsidP="00890D38">
      <w:pPr>
        <w:widowControl w:val="0"/>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 xml:space="preserve">Để đảm bảo an toàn giao thông và không làm gián đoạn hoạt động vận tải hàng hóa và duy trì nguồn nhân lực lái xe, </w:t>
      </w:r>
      <w:r w:rsidR="007C7E4B">
        <w:rPr>
          <w:rFonts w:ascii="Times New Roman" w:eastAsia="Times New Roman" w:hAnsi="Times New Roman" w:cs="Times New Roman"/>
          <w:sz w:val="26"/>
          <w:szCs w:val="26"/>
          <w:lang w:val="en-US"/>
        </w:rPr>
        <w:t xml:space="preserve">các </w:t>
      </w:r>
      <w:r w:rsidR="00A20203" w:rsidRPr="00DA5C88">
        <w:rPr>
          <w:rFonts w:ascii="Times New Roman" w:eastAsia="Times New Roman" w:hAnsi="Times New Roman" w:cs="Times New Roman"/>
          <w:sz w:val="26"/>
          <w:szCs w:val="26"/>
          <w:lang w:val="vi-VN"/>
        </w:rPr>
        <w:t xml:space="preserve">Hiệp hội </w:t>
      </w:r>
      <w:r w:rsidRPr="00DA5C88">
        <w:rPr>
          <w:rFonts w:ascii="Times New Roman" w:eastAsia="Times New Roman" w:hAnsi="Times New Roman" w:cs="Times New Roman"/>
          <w:sz w:val="26"/>
          <w:szCs w:val="26"/>
          <w:lang w:val="vi-VN"/>
        </w:rPr>
        <w:t>kiến nghị Chính phủ</w:t>
      </w:r>
      <w:r w:rsidR="00D471F4" w:rsidRPr="00DA5C88">
        <w:rPr>
          <w:rFonts w:ascii="Times New Roman" w:eastAsia="Times New Roman" w:hAnsi="Times New Roman" w:cs="Times New Roman"/>
          <w:sz w:val="26"/>
          <w:szCs w:val="26"/>
          <w:lang w:val="vi-VN"/>
        </w:rPr>
        <w:t>, Bộ Công An, Bộ Xây dựng và các cơ quan liên quan xem xét</w:t>
      </w:r>
      <w:r w:rsidRPr="00DA5C88">
        <w:rPr>
          <w:rFonts w:ascii="Times New Roman" w:eastAsia="Times New Roman" w:hAnsi="Times New Roman" w:cs="Times New Roman"/>
          <w:sz w:val="26"/>
          <w:szCs w:val="26"/>
          <w:lang w:val="vi-VN"/>
        </w:rPr>
        <w:t xml:space="preserve"> các giải pháp sau:</w:t>
      </w:r>
    </w:p>
    <w:p w14:paraId="563B2F56" w14:textId="60F2D001" w:rsidR="00F60B4C" w:rsidRPr="00DA5C88" w:rsidRDefault="00F60B4C" w:rsidP="00890D38">
      <w:pPr>
        <w:widowControl w:val="0"/>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i/>
          <w:iCs/>
          <w:sz w:val="26"/>
          <w:szCs w:val="26"/>
          <w:lang w:val="vi-VN"/>
        </w:rPr>
        <w:t>Thứ nhất</w:t>
      </w:r>
      <w:r w:rsidRPr="00DA5C88">
        <w:rPr>
          <w:rFonts w:ascii="Times New Roman" w:eastAsia="Times New Roman" w:hAnsi="Times New Roman" w:cs="Times New Roman"/>
          <w:sz w:val="26"/>
          <w:szCs w:val="26"/>
          <w:lang w:val="vi-VN"/>
        </w:rPr>
        <w:t>, cần điều chỉnh khung thời gian làm việc của lái xe vận tải hàng hóa theo hướng mở rộng giới hạn hợp lý, tương tự mô hình Hoa Kỳ và Liên minh châu Âu.                     Cụ thể, cho phép thời gian lái xe tối đa lên 12 giờ/ngày và 60</w:t>
      </w:r>
      <w:r w:rsidR="007C7E4B">
        <w:rPr>
          <w:rFonts w:ascii="Times New Roman" w:eastAsia="Times New Roman" w:hAnsi="Times New Roman" w:cs="Times New Roman"/>
          <w:sz w:val="26"/>
          <w:szCs w:val="26"/>
          <w:lang w:val="en-US"/>
        </w:rPr>
        <w:t xml:space="preserve"> - </w:t>
      </w:r>
      <w:r w:rsidRPr="00DA5C88">
        <w:rPr>
          <w:rFonts w:ascii="Times New Roman" w:eastAsia="Times New Roman" w:hAnsi="Times New Roman" w:cs="Times New Roman"/>
          <w:sz w:val="26"/>
          <w:szCs w:val="26"/>
          <w:lang w:val="vi-VN"/>
        </w:rPr>
        <w:t xml:space="preserve">70 giờ/tuần, kết hợp quy </w:t>
      </w:r>
      <w:r w:rsidRPr="00DA5C88">
        <w:rPr>
          <w:rFonts w:ascii="Times New Roman" w:eastAsia="Times New Roman" w:hAnsi="Times New Roman" w:cs="Times New Roman"/>
          <w:sz w:val="26"/>
          <w:szCs w:val="26"/>
          <w:lang w:val="vi-VN"/>
        </w:rPr>
        <w:lastRenderedPageBreak/>
        <w:t>định bắt buộc nghỉ tối thiểu 10 giờ giữa hai ca. Khung thời gian này vừa bảo đảm an toàn giao thông, vừa giúp các doanh nghiệp duy trì năng lực vận hành, giảm chi phí phát sinh do phải bố trí thêm nhân sự hoặc phương tiện.</w:t>
      </w:r>
    </w:p>
    <w:p w14:paraId="3793CE82" w14:textId="234BB8C2" w:rsidR="00F60B4C" w:rsidRPr="00DA5C88" w:rsidRDefault="00F60B4C" w:rsidP="00890D38">
      <w:pPr>
        <w:widowControl w:val="0"/>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i/>
          <w:iCs/>
          <w:sz w:val="26"/>
          <w:szCs w:val="26"/>
          <w:lang w:val="vi-VN"/>
        </w:rPr>
        <w:t>Thứ hai</w:t>
      </w:r>
      <w:r w:rsidRPr="00DA5C88">
        <w:rPr>
          <w:rFonts w:ascii="Times New Roman" w:eastAsia="Times New Roman" w:hAnsi="Times New Roman" w:cs="Times New Roman"/>
          <w:sz w:val="26"/>
          <w:szCs w:val="26"/>
          <w:lang w:val="vi-VN"/>
        </w:rPr>
        <w:t>, đề nghị ban hành văn bản hướng dẫn chi tiết về cách tính giờ lái xe và nghỉ ngơi, làm rõ các trường hợp đặc thù như kẹt xe, chờ hàng tại cảng, dừng chờ trung chuyển, nghỉ qua đêm nhưng không tắt máy... Việc quy định cụ thể các tình huống thực tế sẽ giúp doanh nghiệp và lực lượng chức năng thống nhất cách hiểu, tránh tình trạng xử phạt không đồng nhất hoặc gây áp lực không cần thiết cho người lái xe.</w:t>
      </w:r>
    </w:p>
    <w:p w14:paraId="3C662A04" w14:textId="09F7CE84" w:rsidR="00F60B4C" w:rsidRPr="00DA5C88" w:rsidRDefault="00F60B4C" w:rsidP="00890D38">
      <w:pPr>
        <w:widowControl w:val="0"/>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i/>
          <w:iCs/>
          <w:sz w:val="26"/>
          <w:szCs w:val="26"/>
          <w:lang w:val="vi-VN"/>
        </w:rPr>
        <w:t>Thứ ba,</w:t>
      </w:r>
      <w:r w:rsidRPr="00DA5C88">
        <w:rPr>
          <w:rFonts w:ascii="Times New Roman" w:eastAsia="Times New Roman" w:hAnsi="Times New Roman" w:cs="Times New Roman"/>
          <w:sz w:val="26"/>
          <w:szCs w:val="26"/>
          <w:lang w:val="vi-VN"/>
        </w:rPr>
        <w:t xml:space="preserve"> cần xây dựng và quy hoạch hệ thống trạm dừng nghỉ đạt chuẩn quốc gia, đặc biệt trên các tuyến vận tải trọng điểm như Bắc </w:t>
      </w:r>
      <w:r w:rsidR="007C7E4B">
        <w:rPr>
          <w:rFonts w:ascii="Times New Roman" w:eastAsia="Times New Roman" w:hAnsi="Times New Roman" w:cs="Times New Roman"/>
          <w:sz w:val="26"/>
          <w:szCs w:val="26"/>
          <w:lang w:val="en-US"/>
        </w:rPr>
        <w:t>-</w:t>
      </w:r>
      <w:r w:rsidRPr="00DA5C88">
        <w:rPr>
          <w:rFonts w:ascii="Times New Roman" w:eastAsia="Times New Roman" w:hAnsi="Times New Roman" w:cs="Times New Roman"/>
          <w:sz w:val="26"/>
          <w:szCs w:val="26"/>
          <w:lang w:val="vi-VN"/>
        </w:rPr>
        <w:t xml:space="preserve"> Nam, cao tốc TP. Hồ Chí Minh </w:t>
      </w:r>
      <w:r w:rsidR="007C7E4B">
        <w:rPr>
          <w:rFonts w:ascii="Times New Roman" w:eastAsia="Times New Roman" w:hAnsi="Times New Roman" w:cs="Times New Roman"/>
          <w:sz w:val="26"/>
          <w:szCs w:val="26"/>
          <w:lang w:val="en-US"/>
        </w:rPr>
        <w:t>-</w:t>
      </w:r>
      <w:r w:rsidRPr="00DA5C88">
        <w:rPr>
          <w:rFonts w:ascii="Times New Roman" w:eastAsia="Times New Roman" w:hAnsi="Times New Roman" w:cs="Times New Roman"/>
          <w:sz w:val="26"/>
          <w:szCs w:val="26"/>
          <w:lang w:val="vi-VN"/>
        </w:rPr>
        <w:t xml:space="preserve"> Trung Lương </w:t>
      </w:r>
      <w:r w:rsidR="007C7E4B">
        <w:rPr>
          <w:rFonts w:ascii="Times New Roman" w:eastAsia="Times New Roman" w:hAnsi="Times New Roman" w:cs="Times New Roman"/>
          <w:sz w:val="26"/>
          <w:szCs w:val="26"/>
          <w:lang w:val="en-US"/>
        </w:rPr>
        <w:t>-</w:t>
      </w:r>
      <w:r w:rsidRPr="00DA5C88">
        <w:rPr>
          <w:rFonts w:ascii="Times New Roman" w:eastAsia="Times New Roman" w:hAnsi="Times New Roman" w:cs="Times New Roman"/>
          <w:sz w:val="26"/>
          <w:szCs w:val="26"/>
          <w:lang w:val="vi-VN"/>
        </w:rPr>
        <w:t xml:space="preserve"> Cần Thơ, Quốc lộ 1A, Quốc lộ 5, Quốc lộ 51, và các tuyến đường vành đai. Các trạm này phải đáp ứng tiêu chuẩn về diện tích, an toàn, dịch vụ thiết yếu cho lái xe nghỉ ngơi, ăn uống, vệ sinh, qua đó bảo đảm tuân thủ quy định nghỉ giữa ca. Nhà nước có thể khuyến khích doanh nghiệp logistics hoặc BOT giao thông tham gia đầu tư theo mô hình xã hội hóa (PPP), vừa giảm áp lực ngân sách vừa nâng cao chất lượng dịch vụ dừng nghỉ.</w:t>
      </w:r>
    </w:p>
    <w:p w14:paraId="3666BEA9" w14:textId="4EEE9B5B" w:rsidR="00F60B4C" w:rsidRPr="00DA5C88" w:rsidRDefault="00F60B4C" w:rsidP="00890D38">
      <w:pPr>
        <w:widowControl w:val="0"/>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i/>
          <w:iCs/>
          <w:sz w:val="26"/>
          <w:szCs w:val="26"/>
          <w:lang w:val="vi-VN"/>
        </w:rPr>
        <w:t>Thứ tư</w:t>
      </w:r>
      <w:r w:rsidRPr="00DA5C88">
        <w:rPr>
          <w:rFonts w:ascii="Times New Roman" w:eastAsia="Times New Roman" w:hAnsi="Times New Roman" w:cs="Times New Roman"/>
          <w:sz w:val="26"/>
          <w:szCs w:val="26"/>
          <w:lang w:val="vi-VN"/>
        </w:rPr>
        <w:t>, trong giai đoạn chuyển tiếp (2025</w:t>
      </w:r>
      <w:r w:rsidR="007C7E4B">
        <w:rPr>
          <w:rFonts w:ascii="Times New Roman" w:eastAsia="Times New Roman" w:hAnsi="Times New Roman" w:cs="Times New Roman"/>
          <w:sz w:val="26"/>
          <w:szCs w:val="26"/>
          <w:lang w:val="en-US"/>
        </w:rPr>
        <w:t xml:space="preserve"> - </w:t>
      </w:r>
      <w:r w:rsidRPr="00DA5C88">
        <w:rPr>
          <w:rFonts w:ascii="Times New Roman" w:eastAsia="Times New Roman" w:hAnsi="Times New Roman" w:cs="Times New Roman"/>
          <w:sz w:val="26"/>
          <w:szCs w:val="26"/>
          <w:lang w:val="vi-VN"/>
        </w:rPr>
        <w:t>2026), đề nghị tạm thời áp dụng cơ chế linh hoạt hoặc miễn giảm xử phạt đối với các doanh nghiệp và tài xế vi phạm lần đầu, do quy định mới còn đang được phổ biến và hoàn thiện. Việc trừ điểm giấy phép lái xe (GPLX) chỉ nên áp dụng sau khi đã có hướng dẫn rõ ràng và hệ thống giám sát hành trình đồng bộ, tránh gây tâm lý e ngại, bỏ nghề trong lực lượng lái xe.</w:t>
      </w:r>
    </w:p>
    <w:p w14:paraId="6EE926BF" w14:textId="6B1B5020" w:rsidR="00A766F3" w:rsidRPr="00DA5C88" w:rsidRDefault="00F60B4C" w:rsidP="00890D38">
      <w:pPr>
        <w:widowControl w:val="0"/>
        <w:spacing w:line="360"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i/>
          <w:iCs/>
          <w:sz w:val="26"/>
          <w:szCs w:val="26"/>
          <w:lang w:val="vi-VN"/>
        </w:rPr>
        <w:t>Thứ năm</w:t>
      </w:r>
      <w:r w:rsidRPr="00DA5C88">
        <w:rPr>
          <w:rFonts w:ascii="Times New Roman" w:eastAsia="Times New Roman" w:hAnsi="Times New Roman" w:cs="Times New Roman"/>
          <w:sz w:val="26"/>
          <w:szCs w:val="26"/>
          <w:lang w:val="vi-VN"/>
        </w:rPr>
        <w:t xml:space="preserve">, </w:t>
      </w:r>
      <w:r w:rsidR="00F50E6B" w:rsidRPr="00DA5C88">
        <w:rPr>
          <w:rFonts w:ascii="Times New Roman" w:eastAsia="Times New Roman" w:hAnsi="Times New Roman" w:cs="Times New Roman"/>
          <w:sz w:val="26"/>
          <w:szCs w:val="26"/>
          <w:lang w:val="vi-VN"/>
        </w:rPr>
        <w:t>kiến nghị Chính phủ xem xét</w:t>
      </w:r>
      <w:r w:rsidRPr="00DA5C88">
        <w:rPr>
          <w:rFonts w:ascii="Times New Roman" w:eastAsia="Times New Roman" w:hAnsi="Times New Roman" w:cs="Times New Roman"/>
          <w:sz w:val="26"/>
          <w:szCs w:val="26"/>
          <w:lang w:val="vi-VN"/>
        </w:rPr>
        <w:t xml:space="preserve"> sửa đổi các quy định giao thông đường bộ, theo hướng tách biệt quy định thời gian làm việc của lái xe kinh doanh vận tải hàng hóa và vận tải hành khách, nhằm phản ánh đúng đặc thù vận hành, chu kỳ nghỉ và tính chất công việc của từng nhóm. Đồng thời, cần bổ sung cơ chế linh hoạt do Bộ Xây dựng ban hành theo từng loại hình vận tải, để có thể điều chỉnh kịp thời khi điều kiện hạ tầng và công nghệ thay đổi.</w:t>
      </w:r>
    </w:p>
    <w:p w14:paraId="318C84DB" w14:textId="77777777" w:rsidR="00F50420" w:rsidRPr="00DA5C88" w:rsidRDefault="00F50420" w:rsidP="005806DB">
      <w:pPr>
        <w:widowControl w:val="0"/>
        <w:spacing w:after="80"/>
        <w:jc w:val="both"/>
        <w:rPr>
          <w:rFonts w:ascii="Times New Roman" w:eastAsia="Times New Roman" w:hAnsi="Times New Roman" w:cs="Times New Roman"/>
          <w:sz w:val="26"/>
          <w:szCs w:val="26"/>
          <w:lang w:val="vi-VN"/>
        </w:rPr>
        <w:sectPr w:rsidR="00F50420" w:rsidRPr="00DA5C88" w:rsidSect="005806DB">
          <w:headerReference w:type="default" r:id="rId8"/>
          <w:footerReference w:type="default" r:id="rId9"/>
          <w:pgSz w:w="11909" w:h="16834" w:code="9"/>
          <w:pgMar w:top="1134" w:right="1134" w:bottom="1134" w:left="1701" w:header="720" w:footer="720" w:gutter="0"/>
          <w:pgNumType w:start="1"/>
          <w:cols w:space="720"/>
          <w:docGrid w:linePitch="299"/>
        </w:sectPr>
      </w:pPr>
    </w:p>
    <w:p w14:paraId="1D258DAC" w14:textId="77777777" w:rsidR="00A91BF3" w:rsidRDefault="00F14CC0" w:rsidP="00A91BF3">
      <w:pPr>
        <w:widowControl w:val="0"/>
        <w:spacing w:after="80" w:line="240" w:lineRule="auto"/>
        <w:jc w:val="center"/>
        <w:rPr>
          <w:rFonts w:ascii="Times New Roman" w:eastAsia="Times New Roman" w:hAnsi="Times New Roman" w:cs="Times New Roman"/>
          <w:b/>
          <w:bCs/>
          <w:sz w:val="24"/>
          <w:szCs w:val="24"/>
          <w:lang w:val="en-US"/>
        </w:rPr>
      </w:pPr>
      <w:r w:rsidRPr="00DA5C88">
        <w:rPr>
          <w:rFonts w:ascii="Times New Roman" w:eastAsia="Times New Roman" w:hAnsi="Times New Roman" w:cs="Times New Roman"/>
          <w:b/>
          <w:bCs/>
          <w:sz w:val="24"/>
          <w:szCs w:val="24"/>
          <w:lang w:val="vi-VN"/>
        </w:rPr>
        <w:lastRenderedPageBreak/>
        <w:t xml:space="preserve">PHỤ LỤC </w:t>
      </w:r>
      <w:r w:rsidR="00890D38">
        <w:rPr>
          <w:rFonts w:ascii="Times New Roman" w:eastAsia="Times New Roman" w:hAnsi="Times New Roman" w:cs="Times New Roman"/>
          <w:b/>
          <w:bCs/>
          <w:sz w:val="24"/>
          <w:szCs w:val="24"/>
          <w:lang w:val="en-US"/>
        </w:rPr>
        <w:t>2</w:t>
      </w:r>
      <w:r w:rsidRPr="00DA5C88">
        <w:rPr>
          <w:rFonts w:ascii="Times New Roman" w:eastAsia="Times New Roman" w:hAnsi="Times New Roman" w:cs="Times New Roman"/>
          <w:b/>
          <w:bCs/>
          <w:sz w:val="24"/>
          <w:szCs w:val="24"/>
          <w:lang w:val="vi-VN"/>
        </w:rPr>
        <w:t xml:space="preserve">. TỔNG HỢP MỘT SỐ KIẾN NGHỊ CỦA CÁC HIỆP HỘI VỀ </w:t>
      </w:r>
    </w:p>
    <w:p w14:paraId="3C069373" w14:textId="2ED78567" w:rsidR="003E6695" w:rsidRDefault="00F14CC0" w:rsidP="00A91BF3">
      <w:pPr>
        <w:widowControl w:val="0"/>
        <w:spacing w:after="80" w:line="240" w:lineRule="auto"/>
        <w:jc w:val="center"/>
        <w:rPr>
          <w:rFonts w:ascii="Times New Roman" w:eastAsia="Times New Roman" w:hAnsi="Times New Roman" w:cs="Times New Roman"/>
          <w:b/>
          <w:bCs/>
          <w:sz w:val="24"/>
          <w:szCs w:val="24"/>
          <w:lang w:val="en-US"/>
        </w:rPr>
      </w:pPr>
      <w:r w:rsidRPr="00F14CC0">
        <w:rPr>
          <w:rFonts w:ascii="Times New Roman" w:eastAsia="Times New Roman" w:hAnsi="Times New Roman" w:cs="Times New Roman"/>
          <w:b/>
          <w:bCs/>
          <w:sz w:val="24"/>
          <w:szCs w:val="24"/>
          <w:lang w:val="vi-VN"/>
        </w:rPr>
        <w:t>CHÍNH SÁCH THUẾ, PHÍ TRONG HOẠT ĐỘNG</w:t>
      </w:r>
      <w:r w:rsidR="004F5C18" w:rsidRPr="004F5C18">
        <w:rPr>
          <w:rFonts w:ascii="Times New Roman" w:eastAsia="Times New Roman" w:hAnsi="Times New Roman" w:cs="Times New Roman"/>
          <w:b/>
          <w:bCs/>
          <w:sz w:val="24"/>
          <w:szCs w:val="24"/>
          <w:lang w:val="vi-VN"/>
        </w:rPr>
        <w:t xml:space="preserve">  </w:t>
      </w:r>
      <w:r w:rsidRPr="00F14CC0">
        <w:rPr>
          <w:rFonts w:ascii="Times New Roman" w:eastAsia="Times New Roman" w:hAnsi="Times New Roman" w:cs="Times New Roman"/>
          <w:b/>
          <w:bCs/>
          <w:sz w:val="24"/>
          <w:szCs w:val="24"/>
          <w:lang w:val="vi-VN"/>
        </w:rPr>
        <w:t>XUẤT NHẬP KHẨU</w:t>
      </w:r>
    </w:p>
    <w:p w14:paraId="7E45E70F" w14:textId="77777777" w:rsidR="00A91BF3" w:rsidRPr="00A91BF3" w:rsidRDefault="00A91BF3" w:rsidP="00A91BF3">
      <w:pPr>
        <w:widowControl w:val="0"/>
        <w:spacing w:after="80" w:line="240" w:lineRule="auto"/>
        <w:jc w:val="center"/>
        <w:rPr>
          <w:rFonts w:ascii="Times New Roman" w:eastAsia="Times New Roman" w:hAnsi="Times New Roman" w:cs="Times New Roman"/>
          <w:b/>
          <w:bCs/>
          <w:sz w:val="24"/>
          <w:szCs w:val="24"/>
          <w:lang w:val="en-US"/>
        </w:rPr>
      </w:pPr>
    </w:p>
    <w:p w14:paraId="5CDC4B14" w14:textId="77777777" w:rsidR="00523005" w:rsidRPr="00523005" w:rsidRDefault="00B13A7C" w:rsidP="008208E1">
      <w:pPr>
        <w:widowControl w:val="0"/>
        <w:spacing w:line="360" w:lineRule="auto"/>
        <w:ind w:firstLine="709"/>
        <w:jc w:val="both"/>
        <w:rPr>
          <w:rFonts w:ascii="Times New Roman" w:eastAsia="Times New Roman" w:hAnsi="Times New Roman" w:cs="Times New Roman"/>
          <w:b/>
          <w:sz w:val="26"/>
          <w:szCs w:val="26"/>
          <w:lang w:val="vi-VN"/>
        </w:rPr>
      </w:pPr>
      <w:r w:rsidRPr="00B13A7C">
        <w:rPr>
          <w:rFonts w:ascii="Times New Roman" w:eastAsia="Times New Roman" w:hAnsi="Times New Roman" w:cs="Times New Roman"/>
          <w:b/>
          <w:sz w:val="26"/>
          <w:szCs w:val="26"/>
          <w:lang w:val="vi-VN"/>
        </w:rPr>
        <w:t>1</w:t>
      </w:r>
      <w:r w:rsidR="00F50E6B" w:rsidRPr="00DA5C88">
        <w:rPr>
          <w:rFonts w:ascii="Times New Roman" w:eastAsia="Times New Roman" w:hAnsi="Times New Roman" w:cs="Times New Roman"/>
          <w:b/>
          <w:sz w:val="26"/>
          <w:szCs w:val="26"/>
          <w:lang w:val="vi-VN"/>
        </w:rPr>
        <w:t xml:space="preserve">. </w:t>
      </w:r>
      <w:r w:rsidRPr="00B13A7C">
        <w:rPr>
          <w:rFonts w:ascii="Times New Roman" w:eastAsia="Times New Roman" w:hAnsi="Times New Roman" w:cs="Times New Roman"/>
          <w:b/>
          <w:sz w:val="26"/>
          <w:szCs w:val="26"/>
          <w:lang w:val="vi-VN"/>
        </w:rPr>
        <w:t xml:space="preserve">Kiến nghị của </w:t>
      </w:r>
      <w:r w:rsidR="00523005" w:rsidRPr="00523005">
        <w:rPr>
          <w:rFonts w:ascii="Times New Roman" w:eastAsia="Times New Roman" w:hAnsi="Times New Roman" w:cs="Times New Roman"/>
          <w:b/>
          <w:sz w:val="26"/>
          <w:szCs w:val="26"/>
          <w:lang w:val="vi-VN"/>
        </w:rPr>
        <w:t>Hiệp hội Gỗ và Lâm sản Việt Nam  (VIFOREST)</w:t>
      </w:r>
    </w:p>
    <w:p w14:paraId="0084B5C8" w14:textId="7319A3DC" w:rsidR="004F5C18" w:rsidRPr="009A5ED6" w:rsidRDefault="004F5C18" w:rsidP="008208E1">
      <w:pPr>
        <w:spacing w:before="120"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Các doanh nghiệp ngành gỗ </w:t>
      </w:r>
      <w:r w:rsidR="005B474B" w:rsidRPr="005B474B">
        <w:rPr>
          <w:rFonts w:ascii="Times New Roman" w:eastAsia="Times New Roman" w:hAnsi="Times New Roman" w:cs="Times New Roman"/>
          <w:sz w:val="26"/>
          <w:szCs w:val="26"/>
        </w:rPr>
        <w:t xml:space="preserve">và sản phẩm gỗ của Việt Nam đang phản ánh về hiện trạng chịu tác động tư hai sắc lệnh của Tổng thống Hoa ỳ, bao gồm thuế đối ứng và điều tra theo Mục 232. </w:t>
      </w:r>
      <w:r>
        <w:rPr>
          <w:rFonts w:ascii="Times New Roman" w:eastAsia="Times New Roman" w:hAnsi="Times New Roman" w:cs="Times New Roman"/>
          <w:sz w:val="26"/>
          <w:szCs w:val="26"/>
        </w:rPr>
        <w:t>Các mặt hàng gỗ nguyên liệu ván, dăm, viên nén</w:t>
      </w:r>
      <w:r w:rsidR="00523192" w:rsidRPr="00523192">
        <w:rPr>
          <w:rFonts w:ascii="Times New Roman" w:eastAsia="Times New Roman" w:hAnsi="Times New Roman" w:cs="Times New Roman"/>
          <w:sz w:val="26"/>
          <w:szCs w:val="26"/>
        </w:rPr>
        <w:t xml:space="preserve"> (thuộc mã HS từ 4401 đến 4413) là đối tượng điều tra 232 (Mục 232 của Đạo luật Thương mại mở rộng của Hoa Kỳ cho phép Tổng </w:t>
      </w:r>
      <w:r w:rsidR="003C1F0E" w:rsidRPr="003C1F0E">
        <w:rPr>
          <w:rFonts w:ascii="Times New Roman" w:eastAsia="Times New Roman" w:hAnsi="Times New Roman" w:cs="Times New Roman"/>
          <w:sz w:val="26"/>
          <w:szCs w:val="26"/>
        </w:rPr>
        <w:t xml:space="preserve">điều tra khi một mặt hàng được nhập khẩu nhiều và có ảnh hưởng đến an ninh quốc gia). Tuy nhiên, phần lớn kim ngạch xuất khẩu của ngành là các sản phẩm đồ gỗ đã chính thức bị áp mức thuế đối ứng 10% kể từ ngày </w:t>
      </w:r>
      <w:r w:rsidR="009A5ED6" w:rsidRPr="009A5ED6">
        <w:rPr>
          <w:rFonts w:ascii="Times New Roman" w:eastAsia="Times New Roman" w:hAnsi="Times New Roman" w:cs="Times New Roman"/>
          <w:sz w:val="26"/>
          <w:szCs w:val="26"/>
        </w:rPr>
        <w:t>09/04/2025.</w:t>
      </w:r>
    </w:p>
    <w:p w14:paraId="3D12B5D5" w14:textId="5A8075E7" w:rsidR="004F5C18" w:rsidRDefault="004F5C18" w:rsidP="008208E1">
      <w:pPr>
        <w:spacing w:before="120"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Hiện</w:t>
      </w:r>
      <w:r w:rsidR="009A5ED6" w:rsidRPr="009A5ED6">
        <w:rPr>
          <w:rFonts w:ascii="Times New Roman" w:eastAsia="Times New Roman" w:hAnsi="Times New Roman" w:cs="Times New Roman"/>
          <w:sz w:val="26"/>
          <w:szCs w:val="26"/>
        </w:rPr>
        <w:t xml:space="preserve"> nay,</w:t>
      </w:r>
      <w:r>
        <w:rPr>
          <w:rFonts w:ascii="Times New Roman" w:eastAsia="Times New Roman" w:hAnsi="Times New Roman" w:cs="Times New Roman"/>
          <w:sz w:val="26"/>
          <w:szCs w:val="26"/>
        </w:rPr>
        <w:t xml:space="preserve"> Việt Nam có 777 DN tham gia xuất khẩu gỗ và sản phẩm gỗ sang thị trường này. Sau ngày thuế đối ứng có hiệu lực, mặc dù các DN đã chủ động đàm phán để chia sẻ gánh nặng thuế với nhà nhập khẩu Hoa Kỳ, nhưng do biên độ lợi nhuận vốn đã hẹp, việc chia sẻ này càng làm tăng áp lực tài chính</w:t>
      </w:r>
      <w:r w:rsidR="00B85928" w:rsidRPr="00B85928">
        <w:rPr>
          <w:rFonts w:ascii="Times New Roman" w:eastAsia="Times New Roman" w:hAnsi="Times New Roman" w:cs="Times New Roman"/>
          <w:sz w:val="26"/>
          <w:szCs w:val="26"/>
        </w:rPr>
        <w:t xml:space="preserve"> cho doanh nghiệp. Trong bối cảnh đó, nhiều đối tác nhập khẩu Hoa Kỳ đã tạm dừng ký kết đơn hàng mới, </w:t>
      </w:r>
      <w:r>
        <w:rPr>
          <w:rFonts w:ascii="Times New Roman" w:eastAsia="Times New Roman" w:hAnsi="Times New Roman" w:cs="Times New Roman"/>
          <w:sz w:val="26"/>
          <w:szCs w:val="26"/>
        </w:rPr>
        <w:t>chờ đợi kết quả đàm phán và phản ứng chính sách từ phía Việt Nam, đe dọa trực tiếp đến hoạt động sản xuất kinh doanh của các DN.</w:t>
      </w:r>
    </w:p>
    <w:p w14:paraId="2EE59842" w14:textId="593082EF" w:rsidR="004F5C18" w:rsidRPr="006E4C4B" w:rsidRDefault="004F5C18" w:rsidP="008208E1">
      <w:pPr>
        <w:spacing w:before="120"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Vấn đề của ngành gỗ cũng là vấn đề của nhiều ngành khác có xuất khẩu sang Hoa Kỳ như các sản phẩm điện tử, công nghệ, nhựa.</w:t>
      </w:r>
      <w:r w:rsidR="006E4C4B" w:rsidRPr="006E4C4B">
        <w:rPr>
          <w:rFonts w:ascii="Times New Roman" w:eastAsia="Times New Roman" w:hAnsi="Times New Roman" w:cs="Times New Roman"/>
          <w:sz w:val="26"/>
          <w:szCs w:val="26"/>
        </w:rPr>
        <w:t xml:space="preserve"> Do vậy, n</w:t>
      </w:r>
      <w:r>
        <w:rPr>
          <w:rFonts w:ascii="Times New Roman" w:eastAsia="Times New Roman" w:hAnsi="Times New Roman" w:cs="Times New Roman"/>
          <w:sz w:val="26"/>
          <w:szCs w:val="26"/>
        </w:rPr>
        <w:t>hằm hỗ trợ các doanh nghiệp trong ngành hàng, Hiệp hội Gỗ và Lâm sản Việt Nam đề xuất Bộ Công Thương, Bộ Tài chính, Bộ Nông nghiệp và Phát triển nông thôn xem xét, kiến nghị Chính phủ và các cơ quan liên quan các giải pháp sau:</w:t>
      </w:r>
    </w:p>
    <w:p w14:paraId="390EDD3D" w14:textId="77777777" w:rsidR="004F5C18" w:rsidRDefault="004F5C18" w:rsidP="008208E1">
      <w:pPr>
        <w:spacing w:before="120" w:line="360" w:lineRule="auto"/>
        <w:ind w:firstLine="709"/>
        <w:jc w:val="both"/>
        <w:rPr>
          <w:rFonts w:ascii="Times New Roman" w:eastAsia="Times New Roman" w:hAnsi="Times New Roman" w:cs="Times New Roman"/>
          <w:sz w:val="26"/>
          <w:szCs w:val="26"/>
        </w:rPr>
      </w:pPr>
      <w:r w:rsidRPr="00972F1F">
        <w:rPr>
          <w:rFonts w:ascii="Times New Roman" w:eastAsia="Times New Roman" w:hAnsi="Times New Roman" w:cs="Times New Roman"/>
          <w:bCs/>
          <w:i/>
          <w:iCs/>
          <w:sz w:val="26"/>
          <w:szCs w:val="26"/>
        </w:rPr>
        <w:t>Thứ nhất</w:t>
      </w:r>
      <w:r w:rsidRPr="00972F1F">
        <w:rPr>
          <w:rFonts w:ascii="Times New Roman" w:eastAsia="Times New Roman" w:hAnsi="Times New Roman" w:cs="Times New Roman"/>
          <w:bCs/>
          <w:sz w:val="26"/>
          <w:szCs w:val="26"/>
        </w:rPr>
        <w:t>, bỏ thuế xuất khẩu gỗ xẻ từ gỗ tròn nhập khẩu từ Hoa Kỳ nhằm góp phần giảm xuất siêu và tạo việc làm và thu nhập cho DN</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Hàng năm VN nhập khẩu gần 1 triệu m3 gỗ (gỗ tròn và gỗ xẻ) từ Hoa Kỳ với giá trị trên 300 triệu USD. Các doanh nghiệp Việt rất chú trọng tăng nhập khẩu gỗ Mỹ để góp phần giảm xuất siêu và sử dụng được gỗ đảm bảo tính hợp pháp từ Hoa Kỳ. Nhằm tăng cường nhập khẩu gỗ Mỹ, Hiệp hội Gỗ và Lâm sản Việt Nam đề nghị Chính phủ xem xét bỏ thuế xuất khẩu gỗ xẻ từ gỗ tròn nhập khẩu từ Hoa Kỳ (hiện gỗ xẻ xuất khẩu từ nguyên liệu gỗ tròn tất cả các xuất xứ đang bị áp thuế xuất khẩu 25%). Việc này sẽ cho phép gia tăng nhanh chóng lượng </w:t>
      </w:r>
      <w:r>
        <w:rPr>
          <w:rFonts w:ascii="Times New Roman" w:eastAsia="Times New Roman" w:hAnsi="Times New Roman" w:cs="Times New Roman"/>
          <w:sz w:val="26"/>
          <w:szCs w:val="26"/>
        </w:rPr>
        <w:lastRenderedPageBreak/>
        <w:t>gỗ nguyên liệu nhập khẩu từ Hoa Kỳ và việc làm, thu nhập cho doanh nghiệp gỗ trong bối cảnh nhiều khó khăn như hiện nay và tăng thu thuế từ các hoạt động xẻ sấy gỗ.</w:t>
      </w:r>
    </w:p>
    <w:p w14:paraId="0A4A4F05" w14:textId="77777777" w:rsidR="004F5C18" w:rsidRDefault="004F5C18" w:rsidP="008208E1">
      <w:pPr>
        <w:spacing w:before="120" w:line="360" w:lineRule="auto"/>
        <w:ind w:firstLine="709"/>
        <w:jc w:val="both"/>
        <w:rPr>
          <w:rFonts w:ascii="Times New Roman" w:eastAsia="Times New Roman" w:hAnsi="Times New Roman" w:cs="Times New Roman"/>
          <w:sz w:val="26"/>
          <w:szCs w:val="26"/>
        </w:rPr>
      </w:pPr>
      <w:r w:rsidRPr="00972F1F">
        <w:rPr>
          <w:rFonts w:ascii="Times New Roman" w:eastAsia="Times New Roman" w:hAnsi="Times New Roman" w:cs="Times New Roman"/>
          <w:bCs/>
          <w:i/>
          <w:iCs/>
          <w:sz w:val="26"/>
          <w:szCs w:val="26"/>
        </w:rPr>
        <w:t>Thứ hai,</w:t>
      </w:r>
      <w:r>
        <w:rPr>
          <w:rFonts w:ascii="Times New Roman" w:eastAsia="Times New Roman" w:hAnsi="Times New Roman" w:cs="Times New Roman"/>
          <w:b/>
          <w:sz w:val="26"/>
          <w:szCs w:val="26"/>
        </w:rPr>
        <w:t xml:space="preserve"> </w:t>
      </w:r>
      <w:r w:rsidRPr="00972F1F">
        <w:rPr>
          <w:rFonts w:ascii="Times New Roman" w:eastAsia="Times New Roman" w:hAnsi="Times New Roman" w:cs="Times New Roman"/>
          <w:bCs/>
          <w:sz w:val="26"/>
          <w:szCs w:val="26"/>
        </w:rPr>
        <w:t>bỏ thuế xuất khẩu 5% với sản phẩm viên than ép mùn cưa</w:t>
      </w:r>
      <w:r>
        <w:rPr>
          <w:rFonts w:ascii="Times New Roman" w:eastAsia="Times New Roman" w:hAnsi="Times New Roman" w:cs="Times New Roman"/>
          <w:sz w:val="26"/>
          <w:szCs w:val="26"/>
        </w:rPr>
        <w:t xml:space="preserve"> (doanh nghiệp đang kê khai xuất khẩu ở hai mã hàng hóa là HS 44.02.90.90.10; 44.02.90.00) được sản xuất từ nguồn phế phẩm của công nghiệp gỗ (chủ yếu là mùn cưa thu gom từ các xưởng xẻ và các nhà máy chế biến gỗ khác). Hiện nay sản phẩm này đang chịu thuế xuất khẩu là 5%. Trong khi đó các nước trong khối ASEAN (như Indonesia, Philippine, Malaysia, Lào, ...) là các đối thủ cạnh tranh chính của DN Việt đang áp dụng mức thuế xuất khẩu là 0% cho mặt hàng này.</w:t>
      </w:r>
    </w:p>
    <w:p w14:paraId="5FC62ED5" w14:textId="6304126A" w:rsidR="004F5C18" w:rsidRDefault="004F5C18" w:rsidP="008208E1">
      <w:pPr>
        <w:spacing w:before="120"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4B3007">
        <w:rPr>
          <w:rFonts w:ascii="Times New Roman" w:eastAsia="Times New Roman" w:hAnsi="Times New Roman" w:cs="Times New Roman"/>
          <w:bCs/>
          <w:i/>
          <w:iCs/>
          <w:sz w:val="26"/>
          <w:szCs w:val="26"/>
        </w:rPr>
        <w:t>Thứ ba</w:t>
      </w:r>
      <w:r>
        <w:rPr>
          <w:rFonts w:ascii="Times New Roman" w:eastAsia="Times New Roman" w:hAnsi="Times New Roman" w:cs="Times New Roman"/>
          <w:b/>
          <w:sz w:val="26"/>
          <w:szCs w:val="26"/>
        </w:rPr>
        <w:t xml:space="preserve">, </w:t>
      </w:r>
      <w:r w:rsidRPr="004B3007">
        <w:rPr>
          <w:rFonts w:ascii="Times New Roman" w:eastAsia="Times New Roman" w:hAnsi="Times New Roman" w:cs="Times New Roman"/>
          <w:bCs/>
          <w:sz w:val="26"/>
          <w:szCs w:val="26"/>
        </w:rPr>
        <w:t>bỏ thuế xuất khẩu 5% với viên nén đen</w:t>
      </w:r>
      <w:r>
        <w:rPr>
          <w:rFonts w:ascii="Times New Roman" w:eastAsia="Times New Roman" w:hAnsi="Times New Roman" w:cs="Times New Roman"/>
          <w:sz w:val="26"/>
          <w:szCs w:val="26"/>
        </w:rPr>
        <w:t xml:space="preserve"> (HS 44.02.90.00): Hiện nay các doanh nghiệp đang xuất khẩu viên nén thông thường (viên nén trắng là loại viên nén gỗ chưa qua công đoạn gia nhiệt) với thuế suất 0%. Việc áp thuế xuất khẩu 5% với viên nén đen, được gia công và qua công đoạn chế biến sâu để tạo thêm giá trị gia tăng là rất bất hợp lý, chủ yếu do áp chưa mã HS phù hợp với sản phẩm này. Hiệp hội Gỗ và Lâm sản Việt Nam kiến nghị các bộ ngành trình Chính phủ chuyển sản phẩm viên nén đen (black pellet), mã HS 44.02.90.00, hiện đang chịu thuế xuất khẩu 5%, sang mã HS 44.01.31.00 </w:t>
      </w:r>
      <w:r w:rsidR="004B3007" w:rsidRPr="004B3007">
        <w:rPr>
          <w:rFonts w:ascii="Times New Roman" w:eastAsia="Times New Roman" w:hAnsi="Times New Roman" w:cs="Times New Roman"/>
          <w:sz w:val="26"/>
          <w:szCs w:val="26"/>
        </w:rPr>
        <w:t>(</w:t>
      </w:r>
      <w:r>
        <w:rPr>
          <w:rFonts w:ascii="Times New Roman" w:eastAsia="Times New Roman" w:hAnsi="Times New Roman" w:cs="Times New Roman"/>
          <w:sz w:val="26"/>
          <w:szCs w:val="26"/>
        </w:rPr>
        <w:t>viên gỗ) với thuế xuất 0%, như đang áp dụng với viên nén trắng.</w:t>
      </w:r>
    </w:p>
    <w:p w14:paraId="50FF8E2D" w14:textId="77777777" w:rsidR="004F5C18" w:rsidRDefault="004F5C18" w:rsidP="008208E1">
      <w:pPr>
        <w:spacing w:before="120"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sidRPr="004B3007">
        <w:rPr>
          <w:rFonts w:ascii="Times New Roman" w:eastAsia="Times New Roman" w:hAnsi="Times New Roman" w:cs="Times New Roman"/>
          <w:bCs/>
          <w:i/>
          <w:iCs/>
          <w:sz w:val="26"/>
          <w:szCs w:val="26"/>
        </w:rPr>
        <w:t>Thứ tư</w:t>
      </w:r>
      <w:r w:rsidRPr="004B3007">
        <w:rPr>
          <w:rFonts w:ascii="Times New Roman" w:eastAsia="Times New Roman" w:hAnsi="Times New Roman" w:cs="Times New Roman"/>
          <w:bCs/>
          <w:sz w:val="26"/>
          <w:szCs w:val="26"/>
        </w:rPr>
        <w:t>, đẩy nhanh việc điều tra chống bán phá giá đối với một số sản phẩm gỗ nhập khẩu vào Việt Nam và tăng cường cảnh báo sớm cho DN gỗ.</w:t>
      </w:r>
      <w:r>
        <w:rPr>
          <w:rFonts w:ascii="Times New Roman" w:eastAsia="Times New Roman" w:hAnsi="Times New Roman" w:cs="Times New Roman"/>
          <w:sz w:val="26"/>
          <w:szCs w:val="26"/>
        </w:rPr>
        <w:t xml:space="preserve"> Cùng với thuế đối ứng của Hoa Kỳ, các vụ kiện và khởi xướng điều tra liên quan đến chống bán phá giá/chống trợ cấp và chống lẩn tránh thuế đang gia tăng. Hiệp hội Gỗ và Lâm sản Việt Nam đề nghị Bộ Công Thương đẩy nhanh việc điều tra chống bán phá giá đối với một số sản phẩm gỗ nhập khẩu vào Việt Nam và tăng cường cảnh báo sớm cho DN gỗ về các mặt hàng có nguy cơ bị khởi kiện và có giải pháp hỗ trợ Hiệp hội và DN tăng cường năng lực phòng vệ thương mại.</w:t>
      </w:r>
    </w:p>
    <w:p w14:paraId="201644C5" w14:textId="1B9B31C9" w:rsidR="000F107F" w:rsidRPr="004172CC" w:rsidRDefault="004F5C18" w:rsidP="008208E1">
      <w:pPr>
        <w:spacing w:before="120"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DE7741">
        <w:rPr>
          <w:rFonts w:ascii="Times New Roman" w:eastAsia="Times New Roman" w:hAnsi="Times New Roman" w:cs="Times New Roman"/>
          <w:bCs/>
          <w:i/>
          <w:iCs/>
          <w:sz w:val="26"/>
          <w:szCs w:val="26"/>
        </w:rPr>
        <w:t>Thứ năm</w:t>
      </w:r>
      <w:r w:rsidRPr="00DE7741">
        <w:rPr>
          <w:rFonts w:ascii="Times New Roman" w:eastAsia="Times New Roman" w:hAnsi="Times New Roman" w:cs="Times New Roman"/>
          <w:bCs/>
          <w:sz w:val="26"/>
          <w:szCs w:val="26"/>
        </w:rPr>
        <w:t>, tăng cường chống gian lận thương mại</w:t>
      </w:r>
      <w:r w:rsidR="00DE7741" w:rsidRPr="00DE7741">
        <w:rPr>
          <w:rFonts w:ascii="Times New Roman" w:eastAsia="Times New Roman" w:hAnsi="Times New Roman" w:cs="Times New Roman"/>
          <w:bCs/>
          <w:sz w:val="26"/>
          <w:szCs w:val="26"/>
        </w:rPr>
        <w:t>.</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Hiệp hội Gỗ và Lâm sản Việt Nam kính đề nghị Chính phủ và các địa phương có giải pháp rà soát và tăng cường kiểm tra, giám sát hoạt động của các doanh nghiệp FDI để tránh nguy cơ các DN gỗ Việt bị áp đặt các biện pháp phòng vệ thương mại. Đặc biệt, trong bối cảnh Hoa Kỳ đẩy nhanh việc áp thuế đối ứng và tăng cường chống lẩn tránh thuế, các bộ ngành và các địa phương </w:t>
      </w:r>
      <w:r>
        <w:rPr>
          <w:rFonts w:ascii="Times New Roman" w:eastAsia="Times New Roman" w:hAnsi="Times New Roman" w:cs="Times New Roman"/>
          <w:sz w:val="26"/>
          <w:szCs w:val="26"/>
        </w:rPr>
        <w:lastRenderedPageBreak/>
        <w:t>cần tăng cường kiểm soát và chống trung chuyển gỗ và sản phẩm qua Việt Nam để gian lận xứ và xuất khẩu vào thị trường Hoa Kỳ.</w:t>
      </w:r>
    </w:p>
    <w:p w14:paraId="1923FA6C" w14:textId="4F5CC430" w:rsidR="00F50E6B" w:rsidRPr="004172CC" w:rsidRDefault="00523005" w:rsidP="008208E1">
      <w:pPr>
        <w:spacing w:line="360" w:lineRule="auto"/>
        <w:ind w:firstLine="709"/>
        <w:jc w:val="both"/>
        <w:rPr>
          <w:rFonts w:ascii="Times New Roman" w:eastAsia="Times New Roman" w:hAnsi="Times New Roman" w:cs="Times New Roman"/>
          <w:b/>
          <w:bCs/>
          <w:sz w:val="26"/>
          <w:szCs w:val="26"/>
        </w:rPr>
      </w:pPr>
      <w:r w:rsidRPr="004172CC">
        <w:rPr>
          <w:rFonts w:ascii="Times New Roman" w:eastAsia="Times New Roman" w:hAnsi="Times New Roman" w:cs="Times New Roman"/>
          <w:b/>
          <w:sz w:val="26"/>
          <w:szCs w:val="26"/>
        </w:rPr>
        <w:t>2.</w:t>
      </w:r>
      <w:r w:rsidR="00DE7741" w:rsidRPr="004172CC">
        <w:rPr>
          <w:rFonts w:ascii="Times New Roman" w:eastAsia="Times New Roman" w:hAnsi="Times New Roman" w:cs="Times New Roman"/>
          <w:b/>
          <w:sz w:val="26"/>
          <w:szCs w:val="26"/>
        </w:rPr>
        <w:t xml:space="preserve"> </w:t>
      </w:r>
      <w:r w:rsidR="00DE7741" w:rsidRPr="00DE7741">
        <w:rPr>
          <w:rFonts w:ascii="Times New Roman" w:eastAsia="Times New Roman" w:hAnsi="Times New Roman" w:cs="Times New Roman"/>
          <w:b/>
          <w:bCs/>
          <w:sz w:val="26"/>
          <w:szCs w:val="26"/>
          <w:lang w:val="vi-VN"/>
        </w:rPr>
        <w:t>Phản ánh từ các Hiệp hội, ngành hàng về tác động của thuế đối ứng của Hoa Kỳ</w:t>
      </w:r>
    </w:p>
    <w:p w14:paraId="144AB3D0" w14:textId="301F50B3" w:rsidR="00F50E6B" w:rsidRPr="004172CC" w:rsidRDefault="00F50E6B" w:rsidP="008208E1">
      <w:pPr>
        <w:spacing w:line="360" w:lineRule="auto"/>
        <w:ind w:firstLine="709"/>
        <w:jc w:val="both"/>
        <w:rPr>
          <w:rFonts w:ascii="Times New Roman" w:eastAsia="Times New Roman" w:hAnsi="Times New Roman" w:cs="Times New Roman"/>
          <w:sz w:val="26"/>
          <w:szCs w:val="26"/>
          <w:lang w:val="vi-VN"/>
        </w:rPr>
      </w:pPr>
      <w:r w:rsidRPr="00DE7741">
        <w:rPr>
          <w:rFonts w:ascii="Times New Roman" w:eastAsia="Times New Roman" w:hAnsi="Times New Roman" w:cs="Times New Roman"/>
          <w:sz w:val="26"/>
          <w:szCs w:val="26"/>
          <w:lang w:val="vi-VN"/>
        </w:rPr>
        <w:t xml:space="preserve">Các biện pháp phòng vệ thương mại và thay đổi chính sách thuế quan tại các thị trường lớn như Hoa Kỳ, EU, Trung Quốc và Nhật Bản đang tạo ra tác động đáng kể đến nhóm hàng xuất khẩu chủ lực của Việt Nam như gỗ và sản phẩm gỗ, thủy sản, dệt may, thép và nông sản chế biến. Nhiều mặt hàng đang đối diện với nguy cơ bị áp thuế chống bán phá giá, thuế chống trợ cấp hoặc các yêu cầu truy xuất nguồn gốc, chứng nhận xuất xứ ngày càng chặt chẽ. Ở chiều ngược lại, nhập khẩu nguyên liệu đầu vào cho sản xuất </w:t>
      </w:r>
      <w:r w:rsidR="00011DE6">
        <w:rPr>
          <w:rFonts w:ascii="Times New Roman" w:eastAsia="Times New Roman" w:hAnsi="Times New Roman" w:cs="Times New Roman"/>
          <w:sz w:val="26"/>
          <w:szCs w:val="26"/>
          <w:lang w:val="en-US"/>
        </w:rPr>
        <w:t>-</w:t>
      </w:r>
      <w:r w:rsidRPr="00DE7741">
        <w:rPr>
          <w:rFonts w:ascii="Times New Roman" w:eastAsia="Times New Roman" w:hAnsi="Times New Roman" w:cs="Times New Roman"/>
          <w:sz w:val="26"/>
          <w:szCs w:val="26"/>
          <w:lang w:val="vi-VN"/>
        </w:rPr>
        <w:t xml:space="preserve"> đặc biệt là gỗ nguyên liệu, thức ăn thủy sản và hóa chất công nghiệp </w:t>
      </w:r>
      <w:r w:rsidR="00011DE6">
        <w:rPr>
          <w:rFonts w:ascii="Times New Roman" w:eastAsia="Times New Roman" w:hAnsi="Times New Roman" w:cs="Times New Roman"/>
          <w:sz w:val="26"/>
          <w:szCs w:val="26"/>
          <w:lang w:val="en-US"/>
        </w:rPr>
        <w:t>-</w:t>
      </w:r>
      <w:r w:rsidRPr="00DE7741">
        <w:rPr>
          <w:rFonts w:ascii="Times New Roman" w:eastAsia="Times New Roman" w:hAnsi="Times New Roman" w:cs="Times New Roman"/>
          <w:sz w:val="26"/>
          <w:szCs w:val="26"/>
          <w:lang w:val="vi-VN"/>
        </w:rPr>
        <w:t xml:space="preserve"> cũng chịu ảnh hưởng từ chính sách thuế mới, làm tăng chi phí đầu vào và giảm biên lợi nhuận. Tác động kép này khiến các doanh nghiệp xuất nhập khẩu Việt Nam chịu sức ép lớn hơn trong việc duy trì chuỗi cung ứng ổn định, bảo đảm đơn hàng, và giữ vững thị phần tại các thị trường truyền thống.</w:t>
      </w:r>
    </w:p>
    <w:p w14:paraId="2263D716" w14:textId="4717B42B" w:rsidR="00F50E6B" w:rsidRPr="00DE7741" w:rsidRDefault="00DE7741" w:rsidP="008208E1">
      <w:pPr>
        <w:spacing w:line="360" w:lineRule="auto"/>
        <w:ind w:firstLine="709"/>
        <w:jc w:val="both"/>
        <w:rPr>
          <w:rFonts w:ascii="Times New Roman" w:eastAsia="Times New Roman" w:hAnsi="Times New Roman" w:cs="Times New Roman"/>
          <w:b/>
          <w:bCs/>
          <w:sz w:val="26"/>
          <w:szCs w:val="26"/>
          <w:lang w:val="vi-VN"/>
        </w:rPr>
      </w:pPr>
      <w:r w:rsidRPr="004172CC">
        <w:rPr>
          <w:rFonts w:ascii="Times New Roman" w:eastAsia="Times New Roman" w:hAnsi="Times New Roman" w:cs="Times New Roman"/>
          <w:sz w:val="26"/>
          <w:szCs w:val="26"/>
          <w:lang w:val="vi-VN"/>
        </w:rPr>
        <w:t>Do vậy, k</w:t>
      </w:r>
      <w:r w:rsidR="00F50E6B" w:rsidRPr="00DE7741">
        <w:rPr>
          <w:rFonts w:ascii="Times New Roman" w:eastAsia="Times New Roman" w:hAnsi="Times New Roman" w:cs="Times New Roman"/>
          <w:sz w:val="26"/>
          <w:szCs w:val="26"/>
          <w:lang w:val="vi-VN"/>
        </w:rPr>
        <w:t>ết quả khảo sát nhanh của Ban IV ghi nhận các doanh nghiệp</w:t>
      </w:r>
      <w:r w:rsidR="00011DE6">
        <w:rPr>
          <w:rFonts w:ascii="Times New Roman" w:eastAsia="Times New Roman" w:hAnsi="Times New Roman" w:cs="Times New Roman"/>
          <w:sz w:val="26"/>
          <w:szCs w:val="26"/>
          <w:lang w:val="en-US"/>
        </w:rPr>
        <w:t xml:space="preserve"> ngành hàng xuất khẩu</w:t>
      </w:r>
      <w:r w:rsidR="00F50E6B" w:rsidRPr="00DE7741">
        <w:rPr>
          <w:rFonts w:ascii="Times New Roman" w:eastAsia="Times New Roman" w:hAnsi="Times New Roman" w:cs="Times New Roman"/>
          <w:sz w:val="26"/>
          <w:szCs w:val="26"/>
          <w:lang w:val="vi-VN"/>
        </w:rPr>
        <w:t xml:space="preserve"> đang gặp nhiều khó khăn trong thích ứng với thuế đối ứng của Hoa Kỳ</w:t>
      </w:r>
      <w:r w:rsidR="00011DE6">
        <w:rPr>
          <w:rFonts w:ascii="Times New Roman" w:eastAsia="Times New Roman" w:hAnsi="Times New Roman" w:cs="Times New Roman"/>
          <w:sz w:val="26"/>
          <w:szCs w:val="26"/>
          <w:lang w:val="en-US"/>
        </w:rPr>
        <w:t xml:space="preserve"> so với các lĩnh vực khác</w:t>
      </w:r>
      <w:r w:rsidR="00F50E6B" w:rsidRPr="00DE7741">
        <w:rPr>
          <w:rFonts w:ascii="Times New Roman" w:eastAsia="Times New Roman" w:hAnsi="Times New Roman" w:cs="Times New Roman"/>
          <w:sz w:val="26"/>
          <w:szCs w:val="26"/>
          <w:lang w:val="vi-VN"/>
        </w:rPr>
        <w:t>, cụ thể: (i) Thiếu thông tin tổng thể và diễn biến thị trường; (ii) Chưa có chiến lược ứng phó nhất quán, hiệu quả; (iii) Nhiều ngành hàng quan trọng như thép, gỗ…đang chịu tác động mạnh, xói mòn năng lực cạnh tranh</w:t>
      </w:r>
      <w:r w:rsidR="00187B3C">
        <w:rPr>
          <w:rFonts w:ascii="Times New Roman" w:eastAsia="Times New Roman" w:hAnsi="Times New Roman" w:cs="Times New Roman"/>
          <w:sz w:val="26"/>
          <w:szCs w:val="26"/>
          <w:lang w:val="en-US"/>
        </w:rPr>
        <w:t xml:space="preserve"> nhưng chưa có</w:t>
      </w:r>
      <w:r w:rsidR="00F50E6B" w:rsidRPr="00DE7741">
        <w:rPr>
          <w:rFonts w:ascii="Times New Roman" w:eastAsia="Times New Roman" w:hAnsi="Times New Roman" w:cs="Times New Roman"/>
          <w:sz w:val="26"/>
          <w:szCs w:val="26"/>
          <w:lang w:val="vi-VN"/>
        </w:rPr>
        <w:t xml:space="preserve"> sự </w:t>
      </w:r>
      <w:r w:rsidR="00187B3C">
        <w:rPr>
          <w:rFonts w:ascii="Times New Roman" w:eastAsia="Times New Roman" w:hAnsi="Times New Roman" w:cs="Times New Roman"/>
          <w:sz w:val="26"/>
          <w:szCs w:val="26"/>
          <w:lang w:val="en-US"/>
        </w:rPr>
        <w:t>gắn kết</w:t>
      </w:r>
      <w:r w:rsidR="00F50E6B" w:rsidRPr="00DE7741">
        <w:rPr>
          <w:rFonts w:ascii="Times New Roman" w:eastAsia="Times New Roman" w:hAnsi="Times New Roman" w:cs="Times New Roman"/>
          <w:sz w:val="26"/>
          <w:szCs w:val="26"/>
          <w:lang w:val="vi-VN"/>
        </w:rPr>
        <w:t xml:space="preserve"> </w:t>
      </w:r>
      <w:r w:rsidR="00943824">
        <w:rPr>
          <w:rFonts w:ascii="Times New Roman" w:eastAsia="Times New Roman" w:hAnsi="Times New Roman" w:cs="Times New Roman"/>
          <w:sz w:val="26"/>
          <w:szCs w:val="26"/>
          <w:lang w:val="en-US"/>
        </w:rPr>
        <w:t>thực sự hiệu quả</w:t>
      </w:r>
      <w:r w:rsidR="00F50E6B" w:rsidRPr="00DE7741">
        <w:rPr>
          <w:rFonts w:ascii="Times New Roman" w:eastAsia="Times New Roman" w:hAnsi="Times New Roman" w:cs="Times New Roman"/>
          <w:sz w:val="26"/>
          <w:szCs w:val="26"/>
          <w:lang w:val="vi-VN"/>
        </w:rPr>
        <w:t xml:space="preserve"> </w:t>
      </w:r>
      <w:r w:rsidR="00187B3C">
        <w:rPr>
          <w:rFonts w:ascii="Times New Roman" w:eastAsia="Times New Roman" w:hAnsi="Times New Roman" w:cs="Times New Roman"/>
          <w:sz w:val="26"/>
          <w:szCs w:val="26"/>
          <w:lang w:val="en-US"/>
        </w:rPr>
        <w:t>giữa doanh nghiệp và</w:t>
      </w:r>
      <w:r w:rsidR="00F50E6B" w:rsidRPr="00DE7741">
        <w:rPr>
          <w:rFonts w:ascii="Times New Roman" w:eastAsia="Times New Roman" w:hAnsi="Times New Roman" w:cs="Times New Roman"/>
          <w:sz w:val="26"/>
          <w:szCs w:val="26"/>
          <w:lang w:val="vi-VN"/>
        </w:rPr>
        <w:t xml:space="preserve"> các </w:t>
      </w:r>
      <w:r w:rsidR="00943824">
        <w:rPr>
          <w:rFonts w:ascii="Times New Roman" w:eastAsia="Times New Roman" w:hAnsi="Times New Roman" w:cs="Times New Roman"/>
          <w:sz w:val="26"/>
          <w:szCs w:val="26"/>
          <w:lang w:val="en-US"/>
        </w:rPr>
        <w:t>cơ quan</w:t>
      </w:r>
      <w:r w:rsidR="00F50E6B" w:rsidRPr="00DE7741">
        <w:rPr>
          <w:rFonts w:ascii="Times New Roman" w:eastAsia="Times New Roman" w:hAnsi="Times New Roman" w:cs="Times New Roman"/>
          <w:sz w:val="26"/>
          <w:szCs w:val="26"/>
          <w:lang w:val="vi-VN"/>
        </w:rPr>
        <w:t xml:space="preserve"> liên quan. </w:t>
      </w:r>
    </w:p>
    <w:p w14:paraId="6B3F30B8" w14:textId="77777777" w:rsidR="00F50E6B" w:rsidRPr="00DE7741" w:rsidRDefault="00F50E6B" w:rsidP="00011DE6">
      <w:pPr>
        <w:spacing w:before="120" w:after="120"/>
        <w:ind w:firstLine="567"/>
        <w:jc w:val="both"/>
        <w:rPr>
          <w:rFonts w:ascii="Times New Roman" w:eastAsia="Times New Roman" w:hAnsi="Times New Roman" w:cs="Times New Roman"/>
          <w:sz w:val="26"/>
          <w:szCs w:val="26"/>
          <w:lang w:val="vi-VN"/>
        </w:rPr>
      </w:pPr>
      <w:r w:rsidRPr="00DE7741">
        <w:rPr>
          <w:rFonts w:ascii="Times New Roman" w:eastAsia="Times New Roman" w:hAnsi="Times New Roman" w:cs="Times New Roman"/>
          <w:b/>
          <w:bCs/>
          <w:sz w:val="26"/>
          <w:szCs w:val="26"/>
          <w:lang w:val="vi-VN"/>
        </w:rPr>
        <w:t>Bảng 2. Tổng hợp ý kiến của một số hiệp hội về tác động của thuế đối ứng</w:t>
      </w:r>
    </w:p>
    <w:tbl>
      <w:tblPr>
        <w:tblStyle w:val="TableGrid"/>
        <w:tblW w:w="9351" w:type="dxa"/>
        <w:tblLook w:val="04A0" w:firstRow="1" w:lastRow="0" w:firstColumn="1" w:lastColumn="0" w:noHBand="0" w:noVBand="1"/>
      </w:tblPr>
      <w:tblGrid>
        <w:gridCol w:w="2965"/>
        <w:gridCol w:w="6386"/>
      </w:tblGrid>
      <w:tr w:rsidR="00F50E6B" w:rsidRPr="00DE7741" w14:paraId="7F8A6C1C" w14:textId="77777777" w:rsidTr="00C942DF">
        <w:trPr>
          <w:trHeight w:val="420"/>
          <w:tblHeader/>
        </w:trPr>
        <w:tc>
          <w:tcPr>
            <w:tcW w:w="2965" w:type="dxa"/>
            <w:vAlign w:val="center"/>
          </w:tcPr>
          <w:p w14:paraId="723CF8DA" w14:textId="77777777" w:rsidR="00F50E6B" w:rsidRPr="00DE7741" w:rsidRDefault="00F50E6B" w:rsidP="00C942DF">
            <w:pPr>
              <w:spacing w:line="276" w:lineRule="auto"/>
              <w:jc w:val="center"/>
              <w:rPr>
                <w:rFonts w:ascii="Times New Roman" w:hAnsi="Times New Roman"/>
                <w:b/>
                <w:bCs/>
                <w:sz w:val="26"/>
                <w:szCs w:val="26"/>
                <w:lang w:val="vi-VN"/>
              </w:rPr>
            </w:pPr>
            <w:r w:rsidRPr="00DE7741">
              <w:rPr>
                <w:rFonts w:ascii="Times New Roman" w:hAnsi="Times New Roman"/>
                <w:b/>
                <w:bCs/>
                <w:sz w:val="26"/>
                <w:szCs w:val="26"/>
                <w:lang w:val="vi-VN"/>
              </w:rPr>
              <w:t>Hiệp hội</w:t>
            </w:r>
          </w:p>
        </w:tc>
        <w:tc>
          <w:tcPr>
            <w:tcW w:w="6386" w:type="dxa"/>
            <w:vAlign w:val="center"/>
          </w:tcPr>
          <w:p w14:paraId="2823C6B2" w14:textId="77777777" w:rsidR="00F50E6B" w:rsidRPr="00DE7741" w:rsidRDefault="00F50E6B" w:rsidP="00C942DF">
            <w:pPr>
              <w:spacing w:line="276" w:lineRule="auto"/>
              <w:jc w:val="center"/>
              <w:rPr>
                <w:rFonts w:ascii="Times New Roman" w:hAnsi="Times New Roman"/>
                <w:b/>
                <w:bCs/>
                <w:sz w:val="26"/>
                <w:szCs w:val="26"/>
                <w:lang w:val="vi-VN"/>
              </w:rPr>
            </w:pPr>
            <w:r w:rsidRPr="00DE7741">
              <w:rPr>
                <w:rFonts w:ascii="Times New Roman" w:hAnsi="Times New Roman"/>
                <w:b/>
                <w:bCs/>
                <w:sz w:val="26"/>
                <w:szCs w:val="26"/>
                <w:lang w:val="vi-VN"/>
              </w:rPr>
              <w:t>Ý kiến</w:t>
            </w:r>
          </w:p>
        </w:tc>
      </w:tr>
      <w:tr w:rsidR="00F50E6B" w:rsidRPr="00DE7741" w14:paraId="1FDBF33A" w14:textId="77777777" w:rsidTr="00C942DF">
        <w:trPr>
          <w:trHeight w:val="1667"/>
        </w:trPr>
        <w:tc>
          <w:tcPr>
            <w:tcW w:w="2965" w:type="dxa"/>
            <w:vAlign w:val="center"/>
          </w:tcPr>
          <w:p w14:paraId="7C625904" w14:textId="77777777" w:rsidR="00F50E6B" w:rsidRPr="00DE7741" w:rsidRDefault="00F50E6B" w:rsidP="00C942DF">
            <w:pPr>
              <w:spacing w:line="276" w:lineRule="auto"/>
              <w:ind w:left="-109"/>
              <w:jc w:val="center"/>
              <w:rPr>
                <w:rFonts w:ascii="Times New Roman" w:hAnsi="Times New Roman"/>
                <w:sz w:val="26"/>
                <w:szCs w:val="26"/>
                <w:lang w:val="vi-VN"/>
              </w:rPr>
            </w:pPr>
            <w:r w:rsidRPr="00DE7741">
              <w:rPr>
                <w:rFonts w:ascii="Times New Roman" w:hAnsi="Times New Roman"/>
                <w:sz w:val="26"/>
                <w:szCs w:val="26"/>
                <w:lang w:val="vi-VN"/>
              </w:rPr>
              <w:t>Hiệp hội Doanh nghiệp Dịch vụ Logistics Việt Nam (VLA)</w:t>
            </w:r>
          </w:p>
        </w:tc>
        <w:tc>
          <w:tcPr>
            <w:tcW w:w="6386" w:type="dxa"/>
            <w:vAlign w:val="center"/>
          </w:tcPr>
          <w:p w14:paraId="63FDEF8D" w14:textId="77777777" w:rsidR="00F50E6B" w:rsidRPr="00DE7741" w:rsidRDefault="00F50E6B" w:rsidP="00C942DF">
            <w:pPr>
              <w:spacing w:line="276" w:lineRule="auto"/>
              <w:jc w:val="both"/>
              <w:rPr>
                <w:rFonts w:ascii="Times New Roman" w:hAnsi="Times New Roman"/>
                <w:sz w:val="26"/>
                <w:szCs w:val="26"/>
                <w:lang w:val="vi-VN"/>
              </w:rPr>
            </w:pPr>
            <w:r w:rsidRPr="00DE7741">
              <w:rPr>
                <w:rFonts w:ascii="Times New Roman" w:hAnsi="Times New Roman"/>
                <w:sz w:val="26"/>
                <w:szCs w:val="26"/>
                <w:lang w:val="vi-VN"/>
              </w:rPr>
              <w:t>Hoạt động xuất nhập khẩu vẫn diễn ra ổn định, các chủ hàng tiếp tục duy trì hoạt động như trước. Tuy nhiên, một số nhà đầu tư nước ngoài có xu hướng dịch chuyển sản xuất ra khỏi Việt Nam, dù mức độ hiện tại còn hạn chế.</w:t>
            </w:r>
          </w:p>
        </w:tc>
      </w:tr>
      <w:tr w:rsidR="00F50E6B" w:rsidRPr="00DE7741" w14:paraId="2980267D" w14:textId="77777777" w:rsidTr="00C942DF">
        <w:trPr>
          <w:trHeight w:val="1010"/>
        </w:trPr>
        <w:tc>
          <w:tcPr>
            <w:tcW w:w="2965" w:type="dxa"/>
            <w:vAlign w:val="center"/>
          </w:tcPr>
          <w:p w14:paraId="540ECD56" w14:textId="32E219EF" w:rsidR="00F50E6B" w:rsidRPr="00DE7741" w:rsidRDefault="00F50E6B" w:rsidP="00C942DF">
            <w:pPr>
              <w:spacing w:line="276" w:lineRule="auto"/>
              <w:ind w:left="-109"/>
              <w:jc w:val="center"/>
              <w:rPr>
                <w:rFonts w:ascii="Times New Roman" w:hAnsi="Times New Roman"/>
                <w:sz w:val="26"/>
                <w:szCs w:val="26"/>
                <w:lang w:val="vi-VN"/>
              </w:rPr>
            </w:pPr>
            <w:r w:rsidRPr="00DE7741">
              <w:rPr>
                <w:rFonts w:ascii="Times New Roman" w:hAnsi="Times New Roman"/>
                <w:sz w:val="26"/>
                <w:szCs w:val="26"/>
                <w:lang w:val="vi-VN"/>
              </w:rPr>
              <w:t xml:space="preserve">Hiệp hội Ô tô </w:t>
            </w:r>
            <w:r w:rsidR="00011DE6">
              <w:rPr>
                <w:rFonts w:ascii="Times New Roman" w:hAnsi="Times New Roman"/>
                <w:sz w:val="26"/>
                <w:szCs w:val="26"/>
                <w:lang w:val="en-US"/>
              </w:rPr>
              <w:t>-</w:t>
            </w:r>
            <w:r w:rsidRPr="00DE7741">
              <w:rPr>
                <w:rFonts w:ascii="Times New Roman" w:hAnsi="Times New Roman"/>
                <w:sz w:val="26"/>
                <w:szCs w:val="26"/>
                <w:lang w:val="vi-VN"/>
              </w:rPr>
              <w:t xml:space="preserve"> Vận tải Việt Nam (VATA)</w:t>
            </w:r>
          </w:p>
        </w:tc>
        <w:tc>
          <w:tcPr>
            <w:tcW w:w="6386" w:type="dxa"/>
            <w:vAlign w:val="center"/>
          </w:tcPr>
          <w:p w14:paraId="56E85134" w14:textId="5AFD816B" w:rsidR="00F50E6B" w:rsidRPr="00DE7741" w:rsidRDefault="00F50E6B" w:rsidP="00C942DF">
            <w:pPr>
              <w:spacing w:line="276" w:lineRule="auto"/>
              <w:jc w:val="both"/>
              <w:rPr>
                <w:rFonts w:ascii="Times New Roman" w:hAnsi="Times New Roman"/>
                <w:sz w:val="26"/>
                <w:szCs w:val="26"/>
                <w:lang w:val="vi-VN"/>
              </w:rPr>
            </w:pPr>
            <w:r w:rsidRPr="00DE7741">
              <w:rPr>
                <w:rFonts w:ascii="Times New Roman" w:hAnsi="Times New Roman"/>
                <w:sz w:val="26"/>
                <w:szCs w:val="26"/>
                <w:lang w:val="vi-VN"/>
              </w:rPr>
              <w:t xml:space="preserve">Ngành ô tô </w:t>
            </w:r>
            <w:r w:rsidR="00011DE6">
              <w:rPr>
                <w:rFonts w:ascii="Times New Roman" w:hAnsi="Times New Roman"/>
                <w:sz w:val="26"/>
                <w:szCs w:val="26"/>
                <w:lang w:val="en-US"/>
              </w:rPr>
              <w:t>-</w:t>
            </w:r>
            <w:r w:rsidRPr="00DE7741">
              <w:rPr>
                <w:rFonts w:ascii="Times New Roman" w:hAnsi="Times New Roman"/>
                <w:sz w:val="26"/>
                <w:szCs w:val="26"/>
                <w:lang w:val="vi-VN"/>
              </w:rPr>
              <w:t xml:space="preserve"> vận tải hiện chưa chịu tác động đáng kể từ các chính sách thuế quan.</w:t>
            </w:r>
          </w:p>
        </w:tc>
      </w:tr>
      <w:tr w:rsidR="00F50E6B" w:rsidRPr="00DE7741" w14:paraId="263B746C" w14:textId="77777777" w:rsidTr="00C942DF">
        <w:trPr>
          <w:trHeight w:val="1401"/>
        </w:trPr>
        <w:tc>
          <w:tcPr>
            <w:tcW w:w="2965" w:type="dxa"/>
            <w:vAlign w:val="center"/>
          </w:tcPr>
          <w:p w14:paraId="345140C9" w14:textId="77777777" w:rsidR="00F50E6B" w:rsidRPr="00DE7741" w:rsidRDefault="00F50E6B" w:rsidP="00C942DF">
            <w:pPr>
              <w:spacing w:line="276" w:lineRule="auto"/>
              <w:ind w:left="-109"/>
              <w:jc w:val="center"/>
              <w:rPr>
                <w:rFonts w:ascii="Times New Roman" w:hAnsi="Times New Roman"/>
                <w:sz w:val="26"/>
                <w:szCs w:val="26"/>
                <w:lang w:val="vi-VN"/>
              </w:rPr>
            </w:pPr>
            <w:r w:rsidRPr="00DE7741">
              <w:rPr>
                <w:rFonts w:ascii="Times New Roman" w:hAnsi="Times New Roman"/>
                <w:sz w:val="26"/>
                <w:szCs w:val="26"/>
                <w:lang w:val="vi-VN"/>
              </w:rPr>
              <w:t>Hiệp hội Đại lý, Môi giới và Dịch vụ Hàng hải Việt Nam (VISABA)</w:t>
            </w:r>
          </w:p>
        </w:tc>
        <w:tc>
          <w:tcPr>
            <w:tcW w:w="6386" w:type="dxa"/>
            <w:vAlign w:val="center"/>
          </w:tcPr>
          <w:p w14:paraId="2C2F1B6A" w14:textId="77777777" w:rsidR="00F50E6B" w:rsidRPr="00DE7741" w:rsidRDefault="00F50E6B" w:rsidP="00C942DF">
            <w:pPr>
              <w:spacing w:line="276" w:lineRule="auto"/>
              <w:jc w:val="both"/>
              <w:rPr>
                <w:rFonts w:ascii="Times New Roman" w:hAnsi="Times New Roman"/>
                <w:sz w:val="26"/>
                <w:szCs w:val="26"/>
                <w:lang w:val="vi-VN"/>
              </w:rPr>
            </w:pPr>
            <w:r w:rsidRPr="00DE7741">
              <w:rPr>
                <w:rFonts w:ascii="Times New Roman" w:hAnsi="Times New Roman"/>
                <w:sz w:val="26"/>
                <w:szCs w:val="26"/>
                <w:lang w:val="vi-VN"/>
              </w:rPr>
              <w:t>Ngành hàng hải hiện chưa chịu ảnh hưởng lớn từ các biến động về thuế quan.</w:t>
            </w:r>
          </w:p>
        </w:tc>
      </w:tr>
      <w:tr w:rsidR="00F50E6B" w:rsidRPr="00DE7741" w14:paraId="42135907" w14:textId="77777777" w:rsidTr="00C942DF">
        <w:tc>
          <w:tcPr>
            <w:tcW w:w="2965" w:type="dxa"/>
            <w:vAlign w:val="center"/>
          </w:tcPr>
          <w:p w14:paraId="51EE0E94" w14:textId="77777777" w:rsidR="00F50E6B" w:rsidRPr="00DE7741" w:rsidRDefault="00F50E6B" w:rsidP="00C942DF">
            <w:pPr>
              <w:spacing w:line="276" w:lineRule="auto"/>
              <w:ind w:left="-109"/>
              <w:jc w:val="center"/>
              <w:rPr>
                <w:rFonts w:ascii="Times New Roman" w:hAnsi="Times New Roman"/>
                <w:sz w:val="26"/>
                <w:szCs w:val="26"/>
                <w:lang w:val="vi-VN"/>
              </w:rPr>
            </w:pPr>
            <w:r w:rsidRPr="00DE7741">
              <w:rPr>
                <w:rFonts w:ascii="Times New Roman" w:hAnsi="Times New Roman"/>
                <w:sz w:val="26"/>
                <w:szCs w:val="26"/>
                <w:lang w:val="vi-VN"/>
              </w:rPr>
              <w:lastRenderedPageBreak/>
              <w:t>Hiệp hội Thép Việt Nam (VSA)</w:t>
            </w:r>
          </w:p>
        </w:tc>
        <w:tc>
          <w:tcPr>
            <w:tcW w:w="6386" w:type="dxa"/>
            <w:vAlign w:val="center"/>
          </w:tcPr>
          <w:p w14:paraId="34B21836" w14:textId="77456101" w:rsidR="00F50E6B" w:rsidRPr="00DE7741" w:rsidRDefault="00F50E6B" w:rsidP="00C942DF">
            <w:pPr>
              <w:spacing w:line="276" w:lineRule="auto"/>
              <w:ind w:left="-109"/>
              <w:jc w:val="both"/>
              <w:rPr>
                <w:rFonts w:ascii="Times New Roman" w:hAnsi="Times New Roman"/>
                <w:sz w:val="26"/>
                <w:szCs w:val="26"/>
                <w:lang w:val="vi-VN"/>
              </w:rPr>
            </w:pPr>
            <w:r w:rsidRPr="00DE7741">
              <w:rPr>
                <w:rFonts w:ascii="Times New Roman" w:hAnsi="Times New Roman"/>
                <w:sz w:val="26"/>
                <w:szCs w:val="26"/>
                <w:lang w:val="vi-VN"/>
              </w:rPr>
              <w:t>Ngành thép chịu tác động mạnh từ chính sách thuế tại các thị trường xuất khẩu lớn. Thuế vào Mỹ tăng từ 25% lên 50% (từ 2/6/2025) khiến thị trường này gần như đóng cửa, xuất khẩu toàn ngành giảm khoảng 40% trong 9 tháng qua. Doanh nghiệp phải chuyển hướng xuất khẩu sang Đông Nam Á, Trung Đông, châu Âu… làm áp lực cạnh tranh gia tăng. Biên lợi nhuận chung chưa bị ảnh hưởng lớn nhờ cầu nội địa tăng, nhưng ngành tôn mạ giảm lợi nhuận 5</w:t>
            </w:r>
            <w:r w:rsidR="00943824">
              <w:rPr>
                <w:rFonts w:ascii="Times New Roman" w:hAnsi="Times New Roman"/>
                <w:sz w:val="26"/>
                <w:szCs w:val="26"/>
                <w:lang w:val="en-US"/>
              </w:rPr>
              <w:t xml:space="preserve"> - </w:t>
            </w:r>
            <w:r w:rsidRPr="00DE7741">
              <w:rPr>
                <w:rFonts w:ascii="Times New Roman" w:hAnsi="Times New Roman"/>
                <w:sz w:val="26"/>
                <w:szCs w:val="26"/>
                <w:lang w:val="vi-VN"/>
              </w:rPr>
              <w:t xml:space="preserve">6% do phụ thuộc vào thị trường Mỹ. </w:t>
            </w:r>
          </w:p>
          <w:p w14:paraId="2F579E4B" w14:textId="77777777" w:rsidR="00F50E6B" w:rsidRPr="00DE7741" w:rsidRDefault="00F50E6B" w:rsidP="00C942DF">
            <w:pPr>
              <w:spacing w:line="276" w:lineRule="auto"/>
              <w:ind w:left="-109"/>
              <w:jc w:val="both"/>
              <w:rPr>
                <w:rFonts w:ascii="Times New Roman" w:hAnsi="Times New Roman"/>
                <w:sz w:val="26"/>
                <w:szCs w:val="26"/>
                <w:lang w:val="vi-VN"/>
              </w:rPr>
            </w:pPr>
            <w:r w:rsidRPr="00DE7741">
              <w:rPr>
                <w:rFonts w:ascii="Times New Roman" w:hAnsi="Times New Roman"/>
                <w:sz w:val="26"/>
                <w:szCs w:val="26"/>
                <w:lang w:val="vi-VN"/>
              </w:rPr>
              <w:t xml:space="preserve">Ngoài ra, Mexico đã loại hơn 100 doanh nghiệp thép Việt Nam khỏi danh mục xuất khẩu, EU giảm hạn mức miễn thuế từ 100% xuống 50%, phần vượt ngưỡng chịu thuế 25%. Các nước khác cũng tăng cường bảo hộ, thu hẹp khả năng tiếp cận thị trường quốc tế. </w:t>
            </w:r>
          </w:p>
          <w:p w14:paraId="4F607272" w14:textId="77777777" w:rsidR="00F50E6B" w:rsidRPr="00DE7741" w:rsidRDefault="00F50E6B" w:rsidP="00C942DF">
            <w:pPr>
              <w:spacing w:line="276" w:lineRule="auto"/>
              <w:ind w:left="-109"/>
              <w:jc w:val="both"/>
              <w:rPr>
                <w:rFonts w:ascii="Times New Roman" w:hAnsi="Times New Roman"/>
                <w:sz w:val="26"/>
                <w:szCs w:val="26"/>
                <w:lang w:val="vi-VN"/>
              </w:rPr>
            </w:pPr>
            <w:r w:rsidRPr="00DE7741">
              <w:rPr>
                <w:rFonts w:ascii="Times New Roman" w:hAnsi="Times New Roman"/>
                <w:sz w:val="26"/>
                <w:szCs w:val="26"/>
                <w:lang w:val="vi-VN"/>
              </w:rPr>
              <w:t>Hiệp hội kiến nghị Nhà nước tăng cường phòng vệ thương mại, đẩy mạnh xúc tiến thị trường mới (Trung Đông, châu Phi, Mỹ Latinh, Đông Âu) và giữ vững thị trường ASEAN để hỗ trợ doanh nghiệp mở rộng xuất khẩu trong bối cảnh rào cản thương mại gia tăng.</w:t>
            </w:r>
          </w:p>
        </w:tc>
      </w:tr>
      <w:tr w:rsidR="00F50E6B" w:rsidRPr="00DA5C88" w14:paraId="27CC8D66" w14:textId="77777777" w:rsidTr="00C942DF">
        <w:tc>
          <w:tcPr>
            <w:tcW w:w="2965" w:type="dxa"/>
            <w:vAlign w:val="center"/>
          </w:tcPr>
          <w:p w14:paraId="7B4B44AB" w14:textId="77777777" w:rsidR="00F50E6B" w:rsidRPr="00DE7741" w:rsidRDefault="00F50E6B" w:rsidP="00C942DF">
            <w:pPr>
              <w:spacing w:line="276" w:lineRule="auto"/>
              <w:ind w:left="-109"/>
              <w:jc w:val="center"/>
              <w:rPr>
                <w:rFonts w:ascii="Times New Roman" w:hAnsi="Times New Roman"/>
                <w:sz w:val="26"/>
                <w:szCs w:val="26"/>
                <w:lang w:val="vi-VN"/>
              </w:rPr>
            </w:pPr>
            <w:r w:rsidRPr="00DE7741">
              <w:rPr>
                <w:rFonts w:ascii="Times New Roman" w:hAnsi="Times New Roman"/>
                <w:sz w:val="26"/>
                <w:szCs w:val="26"/>
                <w:lang w:val="vi-VN"/>
              </w:rPr>
              <w:t xml:space="preserve">Hiệp hội nhựa </w:t>
            </w:r>
          </w:p>
        </w:tc>
        <w:tc>
          <w:tcPr>
            <w:tcW w:w="6386" w:type="dxa"/>
            <w:vAlign w:val="center"/>
          </w:tcPr>
          <w:p w14:paraId="1196603D" w14:textId="77777777" w:rsidR="00F50E6B" w:rsidRPr="00DA5C88" w:rsidRDefault="00F50E6B" w:rsidP="00C942DF">
            <w:pPr>
              <w:spacing w:line="276" w:lineRule="auto"/>
              <w:ind w:left="-109"/>
              <w:jc w:val="both"/>
              <w:rPr>
                <w:rFonts w:ascii="Times New Roman" w:hAnsi="Times New Roman"/>
                <w:sz w:val="26"/>
                <w:szCs w:val="26"/>
                <w:lang w:val="vi-VN"/>
              </w:rPr>
            </w:pPr>
            <w:r w:rsidRPr="00DE7741">
              <w:rPr>
                <w:rFonts w:ascii="Times New Roman" w:hAnsi="Times New Roman"/>
                <w:sz w:val="26"/>
                <w:szCs w:val="26"/>
                <w:lang w:val="vi-VN"/>
              </w:rPr>
              <w:t>Doanh nghiệp đang đàm phán với đối tác, mỗi bên chịu thuế một phần. Điều này sẽ làm ảnh hưởng đến khả năng cạnh tranh của hàng Việt. Một hướng đi đang được Hiệp hội khuyến khích các thành viên là tăng cường nhập khẩu hàng hóa từ Hoa Kỳ. Khó khăn lớn nhất là chưa rõ thông tin cuối cùng của chính quyền tổng thống Trump.</w:t>
            </w:r>
          </w:p>
          <w:p w14:paraId="50F6D169" w14:textId="77777777" w:rsidR="00F50E6B" w:rsidRPr="00DA5C88" w:rsidRDefault="00F50E6B" w:rsidP="00C942DF">
            <w:pPr>
              <w:spacing w:line="276" w:lineRule="auto"/>
              <w:ind w:left="-109"/>
              <w:jc w:val="both"/>
              <w:rPr>
                <w:rFonts w:ascii="Times New Roman" w:hAnsi="Times New Roman"/>
                <w:sz w:val="26"/>
                <w:szCs w:val="26"/>
                <w:lang w:val="vi-VN"/>
              </w:rPr>
            </w:pPr>
          </w:p>
        </w:tc>
      </w:tr>
    </w:tbl>
    <w:p w14:paraId="6D595D3D" w14:textId="77777777" w:rsidR="00F50E6B" w:rsidRPr="00DA5C88" w:rsidRDefault="00F50E6B" w:rsidP="00F50E6B">
      <w:pPr>
        <w:ind w:firstLine="567"/>
        <w:jc w:val="both"/>
        <w:rPr>
          <w:rFonts w:ascii="Times New Roman" w:eastAsia="Times New Roman" w:hAnsi="Times New Roman" w:cs="Times New Roman"/>
          <w:sz w:val="26"/>
          <w:szCs w:val="26"/>
          <w:lang w:val="vi-VN"/>
        </w:rPr>
      </w:pPr>
    </w:p>
    <w:p w14:paraId="143A3C32" w14:textId="77777777" w:rsidR="00F50E6B" w:rsidRPr="00DA5C88" w:rsidRDefault="00F50E6B" w:rsidP="00F50E6B">
      <w:pPr>
        <w:widowControl w:val="0"/>
        <w:spacing w:line="360" w:lineRule="auto"/>
        <w:ind w:firstLine="567"/>
        <w:jc w:val="both"/>
        <w:rPr>
          <w:rFonts w:ascii="Times New Roman" w:eastAsia="Times New Roman" w:hAnsi="Times New Roman" w:cs="Times New Roman"/>
          <w:sz w:val="26"/>
          <w:szCs w:val="26"/>
          <w:lang w:val="vi-VN"/>
        </w:rPr>
      </w:pPr>
    </w:p>
    <w:p w14:paraId="413FDE19" w14:textId="77777777" w:rsidR="00F50E6B" w:rsidRDefault="00F50E6B" w:rsidP="00F50E6B">
      <w:pPr>
        <w:spacing w:line="360" w:lineRule="auto"/>
        <w:jc w:val="both"/>
        <w:rPr>
          <w:rFonts w:ascii="Times New Roman" w:eastAsia="Times New Roman" w:hAnsi="Times New Roman" w:cs="Times New Roman"/>
          <w:sz w:val="26"/>
          <w:szCs w:val="26"/>
          <w:lang w:val="en-US"/>
        </w:rPr>
      </w:pPr>
      <w:r w:rsidRPr="00DA5C88">
        <w:rPr>
          <w:rFonts w:ascii="Times New Roman" w:eastAsia="Times New Roman" w:hAnsi="Times New Roman" w:cs="Times New Roman"/>
          <w:sz w:val="26"/>
          <w:szCs w:val="26"/>
          <w:lang w:val="vi-VN"/>
        </w:rPr>
        <w:br w:type="page"/>
      </w:r>
    </w:p>
    <w:p w14:paraId="07A43485" w14:textId="77777777" w:rsidR="00AF7D16" w:rsidRDefault="00890D38" w:rsidP="001B4980">
      <w:pPr>
        <w:widowControl w:val="0"/>
        <w:spacing w:before="120" w:after="80" w:line="240" w:lineRule="auto"/>
        <w:jc w:val="center"/>
        <w:rPr>
          <w:rFonts w:ascii="Times New Roman" w:eastAsia="Times New Roman" w:hAnsi="Times New Roman" w:cs="Times New Roman"/>
          <w:b/>
          <w:bCs/>
          <w:sz w:val="24"/>
          <w:szCs w:val="24"/>
          <w:lang w:val="en-US"/>
        </w:rPr>
      </w:pPr>
      <w:r w:rsidRPr="00DA5C88">
        <w:rPr>
          <w:rFonts w:ascii="Times New Roman" w:eastAsia="Times New Roman" w:hAnsi="Times New Roman" w:cs="Times New Roman"/>
          <w:b/>
          <w:bCs/>
          <w:sz w:val="24"/>
          <w:szCs w:val="24"/>
          <w:lang w:val="vi-VN"/>
        </w:rPr>
        <w:lastRenderedPageBreak/>
        <w:t xml:space="preserve">PHỤ LỤC </w:t>
      </w:r>
      <w:r w:rsidR="008208E1">
        <w:rPr>
          <w:rFonts w:ascii="Times New Roman" w:eastAsia="Times New Roman" w:hAnsi="Times New Roman" w:cs="Times New Roman"/>
          <w:b/>
          <w:bCs/>
          <w:sz w:val="24"/>
          <w:szCs w:val="24"/>
          <w:lang w:val="en-US"/>
        </w:rPr>
        <w:t>3</w:t>
      </w:r>
      <w:r w:rsidRPr="00DA5C88">
        <w:rPr>
          <w:rFonts w:ascii="Times New Roman" w:eastAsia="Times New Roman" w:hAnsi="Times New Roman" w:cs="Times New Roman"/>
          <w:b/>
          <w:bCs/>
          <w:sz w:val="24"/>
          <w:szCs w:val="24"/>
          <w:lang w:val="vi-VN"/>
        </w:rPr>
        <w:t xml:space="preserve">. TỔNG HỢP MỘT SỐ KIẾN NGHỊ CỦA CÁC HIỆP HỘI VỀ </w:t>
      </w:r>
    </w:p>
    <w:p w14:paraId="59DE4F8F" w14:textId="417F8CC3" w:rsidR="00890D38" w:rsidRDefault="00890D38" w:rsidP="001B4980">
      <w:pPr>
        <w:widowControl w:val="0"/>
        <w:spacing w:before="120" w:after="80" w:line="240" w:lineRule="auto"/>
        <w:jc w:val="center"/>
        <w:rPr>
          <w:rFonts w:ascii="Times New Roman" w:eastAsia="Times New Roman" w:hAnsi="Times New Roman" w:cs="Times New Roman"/>
          <w:b/>
          <w:bCs/>
          <w:sz w:val="24"/>
          <w:szCs w:val="24"/>
          <w:lang w:val="en-US"/>
        </w:rPr>
      </w:pPr>
      <w:r w:rsidRPr="00DA5C88">
        <w:rPr>
          <w:rFonts w:ascii="Times New Roman" w:eastAsia="Times New Roman" w:hAnsi="Times New Roman" w:cs="Times New Roman"/>
          <w:b/>
          <w:bCs/>
          <w:sz w:val="24"/>
          <w:szCs w:val="24"/>
          <w:lang w:val="vi-VN"/>
        </w:rPr>
        <w:t>CHÍNH SÁCH THU PHÍ SỬ DỤNG HẠ TẦNG  CẢNG BIỂN TẠI TP. HỒ CHÍ MINH</w:t>
      </w:r>
    </w:p>
    <w:p w14:paraId="41C4F018" w14:textId="77777777" w:rsidR="00AF7D16" w:rsidRPr="00AF7D16" w:rsidRDefault="00AF7D16" w:rsidP="00AF7D16">
      <w:pPr>
        <w:widowControl w:val="0"/>
        <w:spacing w:after="80" w:line="240" w:lineRule="auto"/>
        <w:jc w:val="center"/>
        <w:rPr>
          <w:rFonts w:ascii="Times New Roman" w:eastAsia="Times New Roman" w:hAnsi="Times New Roman" w:cs="Times New Roman"/>
          <w:b/>
          <w:bCs/>
          <w:sz w:val="24"/>
          <w:szCs w:val="24"/>
          <w:lang w:val="en-US"/>
        </w:rPr>
      </w:pPr>
    </w:p>
    <w:p w14:paraId="30946BB3" w14:textId="77777777" w:rsidR="00890D38" w:rsidRPr="004172CC" w:rsidRDefault="00890D38" w:rsidP="001B4980">
      <w:pPr>
        <w:widowControl w:val="0"/>
        <w:spacing w:before="60" w:after="60" w:line="312" w:lineRule="auto"/>
        <w:ind w:firstLine="709"/>
        <w:jc w:val="both"/>
        <w:rPr>
          <w:rFonts w:ascii="Times New Roman" w:eastAsia="Times New Roman" w:hAnsi="Times New Roman" w:cs="Times New Roman"/>
          <w:b/>
          <w:bCs/>
          <w:sz w:val="26"/>
          <w:szCs w:val="26"/>
          <w:lang w:val="vi-VN"/>
        </w:rPr>
      </w:pPr>
      <w:r w:rsidRPr="00DA5C88">
        <w:rPr>
          <w:rFonts w:ascii="Times New Roman" w:eastAsia="Times New Roman" w:hAnsi="Times New Roman" w:cs="Times New Roman"/>
          <w:b/>
          <w:bCs/>
          <w:sz w:val="26"/>
          <w:szCs w:val="26"/>
          <w:lang w:val="vi-VN"/>
        </w:rPr>
        <w:t xml:space="preserve">1. </w:t>
      </w:r>
      <w:r w:rsidRPr="00347170">
        <w:rPr>
          <w:rFonts w:ascii="Times New Roman" w:eastAsia="Times New Roman" w:hAnsi="Times New Roman" w:cs="Times New Roman"/>
          <w:b/>
          <w:bCs/>
          <w:sz w:val="26"/>
          <w:szCs w:val="26"/>
          <w:lang w:val="vi-VN"/>
        </w:rPr>
        <w:t xml:space="preserve">Kiến nghị của Hiệp hội Đại lý, </w:t>
      </w:r>
      <w:r>
        <w:rPr>
          <w:rFonts w:ascii="Times New Roman" w:eastAsia="Times New Roman" w:hAnsi="Times New Roman" w:cs="Times New Roman"/>
          <w:b/>
          <w:bCs/>
          <w:sz w:val="26"/>
          <w:szCs w:val="26"/>
          <w:lang w:val="en-US"/>
        </w:rPr>
        <w:t>M</w:t>
      </w:r>
      <w:r w:rsidRPr="00347170">
        <w:rPr>
          <w:rFonts w:ascii="Times New Roman" w:eastAsia="Times New Roman" w:hAnsi="Times New Roman" w:cs="Times New Roman"/>
          <w:b/>
          <w:bCs/>
          <w:sz w:val="26"/>
          <w:szCs w:val="26"/>
          <w:lang w:val="vi-VN"/>
        </w:rPr>
        <w:t xml:space="preserve">ôi giới và </w:t>
      </w:r>
      <w:r>
        <w:rPr>
          <w:rFonts w:ascii="Times New Roman" w:eastAsia="Times New Roman" w:hAnsi="Times New Roman" w:cs="Times New Roman"/>
          <w:b/>
          <w:bCs/>
          <w:sz w:val="26"/>
          <w:szCs w:val="26"/>
          <w:lang w:val="en-US"/>
        </w:rPr>
        <w:t>D</w:t>
      </w:r>
      <w:r w:rsidRPr="00347170">
        <w:rPr>
          <w:rFonts w:ascii="Times New Roman" w:eastAsia="Times New Roman" w:hAnsi="Times New Roman" w:cs="Times New Roman"/>
          <w:b/>
          <w:bCs/>
          <w:sz w:val="26"/>
          <w:szCs w:val="26"/>
          <w:lang w:val="vi-VN"/>
        </w:rPr>
        <w:t>ịch vụ hàng hải Việt Nam (VISABA) (đại diện nhóm DN logistic và dịch vụ hàng hải)</w:t>
      </w:r>
    </w:p>
    <w:p w14:paraId="48F47CA8" w14:textId="77777777" w:rsidR="00890D38" w:rsidRPr="00DA5C88" w:rsidRDefault="00890D38" w:rsidP="001B4980">
      <w:pPr>
        <w:widowControl w:val="0"/>
        <w:spacing w:before="60" w:after="60" w:line="312"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Trong bối cảnh kinh tế cả nước đang phục hồi và chuyển sang giai đoạn tăng trưởng mới, TP. Hồ Chí Minh tiếp tục giữ vai trò là trung tâm logistics, thương mại và xuất nhập khẩu lớn nhất của Việt Nam, với sản lượng hàng hóa thông qua cảng biển chiếm tỷ trọng cao trong toàn quốc. Từ năm 2022, Thành phố bắt đầu triển khai chính sách thu phí sử dụng công trình kết cấu hạ tầng, công trình dịch vụ và tiện ích công cộng trong khu vực cửa khẩu cảng biển, tương tự mô hình đã được áp dụng trước đó tại Hải Phòng từ năm 2017.</w:t>
      </w:r>
    </w:p>
    <w:p w14:paraId="665F0F92" w14:textId="77777777" w:rsidR="00890D38" w:rsidRPr="00DA5C88" w:rsidRDefault="00890D38" w:rsidP="001B4980">
      <w:pPr>
        <w:widowControl w:val="0"/>
        <w:spacing w:before="60" w:after="60" w:line="312"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Mục tiêu của chính sách là tạo nguồn lực bổ sung cho ngân sách địa phương để đầu tư, cải tạo và nâng cấp hệ thống hạ tầng giao thông kết nối cảng biển, đặc biệt là các tuyến đường liên cảng, đường vào cảng và nút giao trọng điểm, qua đó nâng cao hiệu quả vận hành logistics và giảm áp lực giao thông đô thị. Tuy nhiên, sau hơn 03 năm thực hiện, chính sách này đã bộc lộ nhiều vướng mắc và tác động ngoài dự kiến, đặc biệt là sự chênh lệch giữa quy mô nguồn thu lớn và tiến độ giải ngân đầu tư còn chậm, dẫn đến gia tăng chi phí logistics cho doanh nghiệp và làm suy giảm sức cạnh tranh của khu vực kinh tế trọng điểm phía Nam.</w:t>
      </w:r>
    </w:p>
    <w:p w14:paraId="67E54C5F" w14:textId="77777777" w:rsidR="00890D38" w:rsidRPr="00DA5C88" w:rsidRDefault="00890D38" w:rsidP="001B4980">
      <w:pPr>
        <w:widowControl w:val="0"/>
        <w:spacing w:before="60" w:after="60" w:line="312"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Trên cơ sở phản ánh của các doanh nghiệp hội viên và qua khảo sát thực tế, Hiệp hội xin trình bày dưới đây phần phân tích thực trạng, các bất cập chủ yếu trong quá trình triển khai chính sách thu phí hạ tầng cảng biển tại TP. Hồ Chí Minh, cùng với một số kiến nghị điều chỉnh nhằm bảo đảm mục tiêu phát triển hạ tầng gắn với duy trì môi trường đầu tư cạnh tranh, minh bạch và bền vững.</w:t>
      </w:r>
    </w:p>
    <w:p w14:paraId="62AFCDC6" w14:textId="77777777" w:rsidR="00890D38" w:rsidRPr="00DA5C88" w:rsidRDefault="00890D38" w:rsidP="001B4980">
      <w:pPr>
        <w:pStyle w:val="Heading3"/>
        <w:spacing w:before="60" w:after="60" w:line="312" w:lineRule="auto"/>
        <w:ind w:firstLine="709"/>
        <w:jc w:val="both"/>
        <w:rPr>
          <w:rFonts w:ascii="Times New Roman" w:eastAsia="Times New Roman" w:hAnsi="Times New Roman" w:cs="Times New Roman"/>
          <w:b/>
          <w:color w:val="000000"/>
          <w:sz w:val="26"/>
          <w:szCs w:val="26"/>
          <w:lang w:val="vi-VN"/>
        </w:rPr>
      </w:pPr>
      <w:r w:rsidRPr="00DA5C88">
        <w:rPr>
          <w:rFonts w:ascii="Times New Roman" w:eastAsia="Times New Roman" w:hAnsi="Times New Roman" w:cs="Times New Roman"/>
          <w:b/>
          <w:color w:val="000000"/>
          <w:sz w:val="26"/>
          <w:szCs w:val="26"/>
          <w:lang w:val="vi-VN"/>
        </w:rPr>
        <w:t>1.1. Kết quả thu phí và hiệu quả sử dụng nguồn thu</w:t>
      </w:r>
    </w:p>
    <w:p w14:paraId="0D76090A" w14:textId="77777777" w:rsidR="00890D38" w:rsidRPr="00DA5C88" w:rsidRDefault="00890D38" w:rsidP="001B4980">
      <w:pPr>
        <w:spacing w:before="60" w:after="60" w:line="312"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Kể từ khi chính thức triển khai vào ngày 01/4/2022, TP. Hồ Chí Minh đã tổ chức thu phí sử dụng công trình kết cấu hạ tầng, công trình dịch vụ và tiện ích công cộng trong khu vực cửa khẩu cảng biển thông qua hệ thống điện tử do Sở Giao thông Vận tải quản lý, với sự phối hợp của Cục Hải quan TP. Hồ Chí Minh và các cơ quan liên quan.</w:t>
      </w:r>
    </w:p>
    <w:p w14:paraId="04456B86" w14:textId="77777777" w:rsidR="00890D38" w:rsidRDefault="00890D38" w:rsidP="001B4980">
      <w:pPr>
        <w:spacing w:before="60" w:after="60" w:line="312" w:lineRule="auto"/>
        <w:ind w:firstLine="709"/>
        <w:jc w:val="both"/>
        <w:rPr>
          <w:rFonts w:ascii="Times New Roman" w:eastAsia="Times New Roman" w:hAnsi="Times New Roman" w:cs="Times New Roman"/>
          <w:sz w:val="26"/>
          <w:szCs w:val="26"/>
          <w:lang w:val="en-US"/>
        </w:rPr>
      </w:pPr>
      <w:r w:rsidRPr="00DA5C88">
        <w:rPr>
          <w:rFonts w:ascii="Times New Roman" w:eastAsia="Times New Roman" w:hAnsi="Times New Roman" w:cs="Times New Roman"/>
          <w:sz w:val="26"/>
          <w:szCs w:val="26"/>
          <w:lang w:val="vi-VN"/>
        </w:rPr>
        <w:t>Theo báo cáo của UBND Thành phố và Dự thảo Đề án năm 2025, tổng số phí thu được tính đến ngày 31/8/2025 đạt 7.502 tỷ đồng, tương đương mức bình quân khoảng                       6 tỷ đồng mỗi ngày kể từ thời điểm triển khai. Đây là con số phản ánh năng lực thu đáng kể của chính sách, thể hiện vai trò của TP. Hồ Chí Minh trong việc huy động nguồn lực xã hội phục vụ đầu tư hạ tầng.</w:t>
      </w:r>
    </w:p>
    <w:p w14:paraId="19128B1B" w14:textId="77777777" w:rsidR="001B4980" w:rsidRPr="001B4980" w:rsidRDefault="001B4980" w:rsidP="001B4980">
      <w:pPr>
        <w:spacing w:before="60" w:after="60" w:line="288" w:lineRule="auto"/>
        <w:ind w:firstLine="709"/>
        <w:jc w:val="both"/>
        <w:rPr>
          <w:rFonts w:ascii="Times New Roman" w:eastAsia="Times New Roman" w:hAnsi="Times New Roman" w:cs="Times New Roman"/>
          <w:sz w:val="26"/>
          <w:szCs w:val="26"/>
          <w:lang w:val="en-US"/>
        </w:rPr>
      </w:pPr>
    </w:p>
    <w:p w14:paraId="763AB191" w14:textId="77777777" w:rsidR="00890D38" w:rsidRPr="00DA5C88" w:rsidRDefault="00890D38" w:rsidP="00890D38">
      <w:pPr>
        <w:spacing w:before="120" w:after="120" w:line="240" w:lineRule="auto"/>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lastRenderedPageBreak/>
        <w:t>Bảng 1. Thống kê mức thu phí hạ tầng cảng biển tại TP. Hồ Chí Minh                  giai đoạn 2022-2025</w:t>
      </w:r>
    </w:p>
    <w:p w14:paraId="44BB093A" w14:textId="77777777" w:rsidR="00890D38" w:rsidRPr="00DA5C88" w:rsidRDefault="00890D38" w:rsidP="00890D38">
      <w:pPr>
        <w:spacing w:before="120" w:after="120" w:line="240" w:lineRule="auto"/>
        <w:ind w:firstLine="720"/>
        <w:jc w:val="right"/>
        <w:rPr>
          <w:rFonts w:ascii="Times New Roman" w:eastAsia="Times New Roman" w:hAnsi="Times New Roman" w:cs="Times New Roman"/>
          <w:i/>
          <w:sz w:val="26"/>
          <w:szCs w:val="26"/>
          <w:lang w:val="vi-VN"/>
        </w:rPr>
      </w:pPr>
      <w:r w:rsidRPr="00DA5C88">
        <w:rPr>
          <w:rFonts w:ascii="Times New Roman" w:eastAsia="Times New Roman" w:hAnsi="Times New Roman" w:cs="Times New Roman"/>
          <w:i/>
          <w:sz w:val="26"/>
          <w:szCs w:val="26"/>
          <w:lang w:val="vi-VN"/>
        </w:rPr>
        <w:t>ĐVT: 1.000 đồng</w:t>
      </w:r>
    </w:p>
    <w:tbl>
      <w:tblPr>
        <w:tblStyle w:val="a1"/>
        <w:tblW w:w="88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5"/>
        <w:gridCol w:w="2275"/>
        <w:gridCol w:w="2268"/>
        <w:gridCol w:w="2227"/>
      </w:tblGrid>
      <w:tr w:rsidR="00890D38" w:rsidRPr="00DA5C88" w14:paraId="720B07FD" w14:textId="77777777" w:rsidTr="00460626">
        <w:tc>
          <w:tcPr>
            <w:tcW w:w="2115" w:type="dxa"/>
            <w:vAlign w:val="center"/>
          </w:tcPr>
          <w:p w14:paraId="565DD228" w14:textId="77777777" w:rsidR="00890D38" w:rsidRPr="00DA5C88" w:rsidRDefault="00890D38" w:rsidP="00460626">
            <w:pPr>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Năm</w:t>
            </w:r>
          </w:p>
        </w:tc>
        <w:tc>
          <w:tcPr>
            <w:tcW w:w="2275" w:type="dxa"/>
            <w:vAlign w:val="center"/>
          </w:tcPr>
          <w:p w14:paraId="68542B6F" w14:textId="77777777" w:rsidR="00890D38" w:rsidRPr="00DA5C88" w:rsidRDefault="00890D38" w:rsidP="00460626">
            <w:pPr>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Dự toán thu phí được giao</w:t>
            </w:r>
          </w:p>
        </w:tc>
        <w:tc>
          <w:tcPr>
            <w:tcW w:w="2268" w:type="dxa"/>
            <w:vAlign w:val="center"/>
          </w:tcPr>
          <w:p w14:paraId="0013388A" w14:textId="77777777" w:rsidR="00890D38" w:rsidRPr="00DA5C88" w:rsidRDefault="00890D38" w:rsidP="00460626">
            <w:pPr>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Số thu phí thực hiện</w:t>
            </w:r>
          </w:p>
        </w:tc>
        <w:tc>
          <w:tcPr>
            <w:tcW w:w="2227" w:type="dxa"/>
            <w:vAlign w:val="center"/>
          </w:tcPr>
          <w:p w14:paraId="7C6CB93B" w14:textId="77777777" w:rsidR="00890D38" w:rsidRPr="00DA5C88" w:rsidRDefault="00890D38" w:rsidP="00460626">
            <w:pPr>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Tỷ lệ số thu/ dự toán thu</w:t>
            </w:r>
          </w:p>
        </w:tc>
      </w:tr>
      <w:tr w:rsidR="00890D38" w:rsidRPr="00DA5C88" w14:paraId="40302C2E" w14:textId="77777777" w:rsidTr="00460626">
        <w:tc>
          <w:tcPr>
            <w:tcW w:w="2115" w:type="dxa"/>
          </w:tcPr>
          <w:p w14:paraId="2C3E709E"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9 tháng năm 2022</w:t>
            </w:r>
          </w:p>
        </w:tc>
        <w:tc>
          <w:tcPr>
            <w:tcW w:w="2275" w:type="dxa"/>
          </w:tcPr>
          <w:p w14:paraId="7273330A"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1.971.000.000</w:t>
            </w:r>
          </w:p>
        </w:tc>
        <w:tc>
          <w:tcPr>
            <w:tcW w:w="2268" w:type="dxa"/>
          </w:tcPr>
          <w:p w14:paraId="4879F813"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1.862.000.000</w:t>
            </w:r>
          </w:p>
        </w:tc>
        <w:tc>
          <w:tcPr>
            <w:tcW w:w="2227" w:type="dxa"/>
          </w:tcPr>
          <w:p w14:paraId="0A2ECB0B"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94,6%</w:t>
            </w:r>
          </w:p>
        </w:tc>
      </w:tr>
      <w:tr w:rsidR="00890D38" w:rsidRPr="00DA5C88" w14:paraId="5828356B" w14:textId="77777777" w:rsidTr="00460626">
        <w:tc>
          <w:tcPr>
            <w:tcW w:w="2115" w:type="dxa"/>
          </w:tcPr>
          <w:p w14:paraId="131BA99F"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2023</w:t>
            </w:r>
          </w:p>
        </w:tc>
        <w:tc>
          <w:tcPr>
            <w:tcW w:w="2275" w:type="dxa"/>
          </w:tcPr>
          <w:p w14:paraId="2746E220"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2.000.000.000</w:t>
            </w:r>
          </w:p>
        </w:tc>
        <w:tc>
          <w:tcPr>
            <w:tcW w:w="2268" w:type="dxa"/>
          </w:tcPr>
          <w:p w14:paraId="655DA34A"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2.036.000.000</w:t>
            </w:r>
          </w:p>
        </w:tc>
        <w:tc>
          <w:tcPr>
            <w:tcW w:w="2227" w:type="dxa"/>
          </w:tcPr>
          <w:p w14:paraId="544E3A87"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101,8%</w:t>
            </w:r>
          </w:p>
        </w:tc>
      </w:tr>
      <w:tr w:rsidR="00890D38" w:rsidRPr="00DA5C88" w14:paraId="2430A015" w14:textId="77777777" w:rsidTr="00460626">
        <w:tc>
          <w:tcPr>
            <w:tcW w:w="2115" w:type="dxa"/>
          </w:tcPr>
          <w:p w14:paraId="199624B0"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2024</w:t>
            </w:r>
          </w:p>
        </w:tc>
        <w:tc>
          <w:tcPr>
            <w:tcW w:w="2275" w:type="dxa"/>
          </w:tcPr>
          <w:p w14:paraId="300A2D1C"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2.100.000.000</w:t>
            </w:r>
          </w:p>
        </w:tc>
        <w:tc>
          <w:tcPr>
            <w:tcW w:w="2268" w:type="dxa"/>
          </w:tcPr>
          <w:p w14:paraId="1171555B"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2.151.000.000</w:t>
            </w:r>
          </w:p>
        </w:tc>
        <w:tc>
          <w:tcPr>
            <w:tcW w:w="2227" w:type="dxa"/>
          </w:tcPr>
          <w:p w14:paraId="43E430CA"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102,43%</w:t>
            </w:r>
          </w:p>
        </w:tc>
      </w:tr>
      <w:tr w:rsidR="00890D38" w:rsidRPr="00DA5C88" w14:paraId="57ACEA60" w14:textId="77777777" w:rsidTr="00460626">
        <w:tc>
          <w:tcPr>
            <w:tcW w:w="2115" w:type="dxa"/>
          </w:tcPr>
          <w:p w14:paraId="787A1247"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2025 (đến 31/8)</w:t>
            </w:r>
          </w:p>
        </w:tc>
        <w:tc>
          <w:tcPr>
            <w:tcW w:w="2275" w:type="dxa"/>
          </w:tcPr>
          <w:p w14:paraId="7E1C2706"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2.150.000.000</w:t>
            </w:r>
          </w:p>
        </w:tc>
        <w:tc>
          <w:tcPr>
            <w:tcW w:w="2268" w:type="dxa"/>
          </w:tcPr>
          <w:p w14:paraId="19120D7D"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1.453.000.000</w:t>
            </w:r>
          </w:p>
        </w:tc>
        <w:tc>
          <w:tcPr>
            <w:tcW w:w="2227" w:type="dxa"/>
          </w:tcPr>
          <w:p w14:paraId="649C3512"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67,58%</w:t>
            </w:r>
          </w:p>
        </w:tc>
      </w:tr>
      <w:tr w:rsidR="00890D38" w:rsidRPr="00DA5C88" w14:paraId="34CF95B1" w14:textId="77777777" w:rsidTr="00460626">
        <w:tc>
          <w:tcPr>
            <w:tcW w:w="4390" w:type="dxa"/>
            <w:gridSpan w:val="2"/>
          </w:tcPr>
          <w:p w14:paraId="1FA841DD" w14:textId="77777777" w:rsidR="00890D38" w:rsidRPr="00DA5C88" w:rsidRDefault="00890D38" w:rsidP="00460626">
            <w:pPr>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Tổng</w:t>
            </w:r>
          </w:p>
        </w:tc>
        <w:tc>
          <w:tcPr>
            <w:tcW w:w="2268" w:type="dxa"/>
          </w:tcPr>
          <w:p w14:paraId="14F37EB9" w14:textId="77777777" w:rsidR="00890D38" w:rsidRPr="00DA5C88" w:rsidRDefault="00890D38" w:rsidP="00460626">
            <w:pPr>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7.502.000.000</w:t>
            </w:r>
          </w:p>
        </w:tc>
        <w:tc>
          <w:tcPr>
            <w:tcW w:w="2227" w:type="dxa"/>
          </w:tcPr>
          <w:p w14:paraId="5C5144F7" w14:textId="77777777" w:rsidR="00890D38" w:rsidRPr="00DA5C88" w:rsidRDefault="00890D38" w:rsidP="00460626">
            <w:pPr>
              <w:jc w:val="both"/>
              <w:rPr>
                <w:rFonts w:ascii="Times New Roman" w:eastAsia="Times New Roman" w:hAnsi="Times New Roman" w:cs="Times New Roman"/>
                <w:sz w:val="26"/>
                <w:szCs w:val="26"/>
                <w:lang w:val="vi-VN"/>
              </w:rPr>
            </w:pPr>
          </w:p>
        </w:tc>
      </w:tr>
    </w:tbl>
    <w:p w14:paraId="1AAE789A" w14:textId="77777777" w:rsidR="00890D38" w:rsidRPr="00DA5C88" w:rsidRDefault="00890D38" w:rsidP="00890D38">
      <w:pPr>
        <w:spacing w:before="120" w:after="120" w:line="240" w:lineRule="auto"/>
        <w:jc w:val="both"/>
        <w:rPr>
          <w:rFonts w:ascii="Times New Roman" w:eastAsia="Times New Roman" w:hAnsi="Times New Roman" w:cs="Times New Roman"/>
          <w:i/>
          <w:sz w:val="24"/>
          <w:szCs w:val="24"/>
          <w:lang w:val="vi-VN"/>
        </w:rPr>
      </w:pPr>
      <w:r w:rsidRPr="00DA5C88">
        <w:rPr>
          <w:rFonts w:ascii="Times New Roman" w:eastAsia="Times New Roman" w:hAnsi="Times New Roman" w:cs="Times New Roman"/>
          <w:i/>
          <w:sz w:val="24"/>
          <w:szCs w:val="24"/>
          <w:lang w:val="vi-VN"/>
        </w:rPr>
        <w:t>Nguồn: Dự thảo Đề án Thu phí sử dụng công trình kết cấu hạ tầng, công trình dịch vụ, tiện ích công cộng trong khu vực cửa khẩu cảng biển trên địa bàn Thành phố Hồ Chí Minh</w:t>
      </w:r>
    </w:p>
    <w:p w14:paraId="3255627F" w14:textId="77777777" w:rsidR="00890D38" w:rsidRPr="00DA5C88" w:rsidRDefault="00890D38" w:rsidP="001B4980">
      <w:pPr>
        <w:spacing w:before="60" w:after="60" w:line="312" w:lineRule="auto"/>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Tuy nhiên, hiệu quả giải ngân và sử dụng nguồn thu vẫn còn nhiều hạn chế. Mặc dù nguồn thu tăng đều qua các năm, tiến độ giải ngân vốn đầu tư công từ nguồn phí này chưa tương xứng với quy mô thu được.</w:t>
      </w:r>
    </w:p>
    <w:p w14:paraId="10B05E9B" w14:textId="77777777" w:rsidR="00890D38" w:rsidRPr="00DA5C88" w:rsidRDefault="00890D38" w:rsidP="00890D38">
      <w:pPr>
        <w:spacing w:before="120" w:after="120" w:line="240" w:lineRule="auto"/>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Bảng 2. Đánh giá hiệu quả giải ngân vốn và nguồn thu từ phí hạ tầng cảng biển</w:t>
      </w:r>
    </w:p>
    <w:tbl>
      <w:tblPr>
        <w:tblStyle w:val="a2"/>
        <w:tblW w:w="93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560"/>
        <w:gridCol w:w="1701"/>
        <w:gridCol w:w="1559"/>
        <w:gridCol w:w="1665"/>
      </w:tblGrid>
      <w:tr w:rsidR="00890D38" w:rsidRPr="00DA5C88" w14:paraId="5AE6071C" w14:textId="77777777" w:rsidTr="00B817BE">
        <w:tc>
          <w:tcPr>
            <w:tcW w:w="2830" w:type="dxa"/>
            <w:vAlign w:val="center"/>
          </w:tcPr>
          <w:p w14:paraId="592A2A30" w14:textId="77777777" w:rsidR="00890D38" w:rsidRPr="00DA5C88" w:rsidRDefault="00890D38" w:rsidP="00460626">
            <w:pPr>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Khu vực</w:t>
            </w:r>
          </w:p>
        </w:tc>
        <w:tc>
          <w:tcPr>
            <w:tcW w:w="1560" w:type="dxa"/>
            <w:vAlign w:val="center"/>
          </w:tcPr>
          <w:p w14:paraId="6BFF4A2E" w14:textId="77777777" w:rsidR="00B817BE" w:rsidRDefault="00890D38" w:rsidP="00460626">
            <w:pPr>
              <w:jc w:val="center"/>
              <w:rPr>
                <w:rFonts w:ascii="Times New Roman" w:eastAsia="Times New Roman" w:hAnsi="Times New Roman" w:cs="Times New Roman"/>
                <w:b/>
                <w:sz w:val="26"/>
                <w:szCs w:val="26"/>
                <w:lang w:val="en-US"/>
              </w:rPr>
            </w:pPr>
            <w:r w:rsidRPr="00DA5C88">
              <w:rPr>
                <w:rFonts w:ascii="Times New Roman" w:eastAsia="Times New Roman" w:hAnsi="Times New Roman" w:cs="Times New Roman"/>
                <w:b/>
                <w:sz w:val="26"/>
                <w:szCs w:val="26"/>
                <w:lang w:val="vi-VN"/>
              </w:rPr>
              <w:t xml:space="preserve">Cảng </w:t>
            </w:r>
          </w:p>
          <w:p w14:paraId="41A15106" w14:textId="77CF6FC1" w:rsidR="00890D38" w:rsidRPr="00DA5C88" w:rsidRDefault="00890D38" w:rsidP="00460626">
            <w:pPr>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Cát Lái</w:t>
            </w:r>
          </w:p>
        </w:tc>
        <w:tc>
          <w:tcPr>
            <w:tcW w:w="1701" w:type="dxa"/>
            <w:vAlign w:val="center"/>
          </w:tcPr>
          <w:p w14:paraId="64AE27FF" w14:textId="3ED282C3" w:rsidR="00890D38" w:rsidRPr="00DA5C88" w:rsidRDefault="00890D38" w:rsidP="00460626">
            <w:pPr>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 xml:space="preserve">Cảng Hiệp Phước </w:t>
            </w:r>
            <w:r w:rsidR="00B817BE">
              <w:rPr>
                <w:rFonts w:ascii="Times New Roman" w:eastAsia="Times New Roman" w:hAnsi="Times New Roman" w:cs="Times New Roman"/>
                <w:b/>
                <w:sz w:val="26"/>
                <w:szCs w:val="26"/>
                <w:lang w:val="en-US"/>
              </w:rPr>
              <w:t>-</w:t>
            </w:r>
            <w:r w:rsidRPr="00DA5C88">
              <w:rPr>
                <w:rFonts w:ascii="Times New Roman" w:eastAsia="Times New Roman" w:hAnsi="Times New Roman" w:cs="Times New Roman"/>
                <w:b/>
                <w:sz w:val="26"/>
                <w:szCs w:val="26"/>
                <w:lang w:val="vi-VN"/>
              </w:rPr>
              <w:t xml:space="preserve"> Sài Gòn </w:t>
            </w:r>
            <w:r w:rsidR="00B817BE">
              <w:rPr>
                <w:rFonts w:ascii="Times New Roman" w:eastAsia="Times New Roman" w:hAnsi="Times New Roman" w:cs="Times New Roman"/>
                <w:b/>
                <w:sz w:val="26"/>
                <w:szCs w:val="26"/>
                <w:lang w:val="en-US"/>
              </w:rPr>
              <w:t>-</w:t>
            </w:r>
            <w:r w:rsidRPr="00DA5C88">
              <w:rPr>
                <w:rFonts w:ascii="Times New Roman" w:eastAsia="Times New Roman" w:hAnsi="Times New Roman" w:cs="Times New Roman"/>
                <w:b/>
                <w:sz w:val="26"/>
                <w:szCs w:val="26"/>
                <w:lang w:val="vi-VN"/>
              </w:rPr>
              <w:t xml:space="preserve"> Nhà Bè</w:t>
            </w:r>
          </w:p>
        </w:tc>
        <w:tc>
          <w:tcPr>
            <w:tcW w:w="1559" w:type="dxa"/>
            <w:vAlign w:val="center"/>
          </w:tcPr>
          <w:p w14:paraId="08415328" w14:textId="74718B78" w:rsidR="00890D38" w:rsidRPr="00DA5C88" w:rsidRDefault="00890D38" w:rsidP="00460626">
            <w:pPr>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 xml:space="preserve">Cảng Cái Mép </w:t>
            </w:r>
            <w:r w:rsidR="00B817BE">
              <w:rPr>
                <w:rFonts w:ascii="Times New Roman" w:eastAsia="Times New Roman" w:hAnsi="Times New Roman" w:cs="Times New Roman"/>
                <w:b/>
                <w:sz w:val="26"/>
                <w:szCs w:val="26"/>
                <w:lang w:val="en-US"/>
              </w:rPr>
              <w:t>-</w:t>
            </w:r>
            <w:r w:rsidRPr="00DA5C88">
              <w:rPr>
                <w:rFonts w:ascii="Times New Roman" w:eastAsia="Times New Roman" w:hAnsi="Times New Roman" w:cs="Times New Roman"/>
                <w:b/>
                <w:sz w:val="26"/>
                <w:szCs w:val="26"/>
                <w:lang w:val="vi-VN"/>
              </w:rPr>
              <w:t xml:space="preserve"> Thị Vải</w:t>
            </w:r>
          </w:p>
        </w:tc>
        <w:tc>
          <w:tcPr>
            <w:tcW w:w="1665" w:type="dxa"/>
            <w:vAlign w:val="center"/>
          </w:tcPr>
          <w:p w14:paraId="4D1FE020" w14:textId="77777777" w:rsidR="00890D38" w:rsidRPr="00DA5C88" w:rsidRDefault="00890D38" w:rsidP="00460626">
            <w:pPr>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Tổng cộng</w:t>
            </w:r>
          </w:p>
        </w:tc>
      </w:tr>
      <w:tr w:rsidR="00890D38" w:rsidRPr="00DA5C88" w14:paraId="2F55C444" w14:textId="77777777" w:rsidTr="00B817BE">
        <w:tc>
          <w:tcPr>
            <w:tcW w:w="2830" w:type="dxa"/>
          </w:tcPr>
          <w:p w14:paraId="45ABB50F" w14:textId="77777777" w:rsidR="00890D38" w:rsidRPr="00DA5C88" w:rsidRDefault="00890D38" w:rsidP="00460626">
            <w:pPr>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Số dự án trọng điểm kết nối hạ tầng giao thông khu vực cảng biển</w:t>
            </w:r>
          </w:p>
        </w:tc>
        <w:tc>
          <w:tcPr>
            <w:tcW w:w="1560" w:type="dxa"/>
            <w:vAlign w:val="center"/>
          </w:tcPr>
          <w:p w14:paraId="674DCBE6"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25</w:t>
            </w:r>
          </w:p>
        </w:tc>
        <w:tc>
          <w:tcPr>
            <w:tcW w:w="1701" w:type="dxa"/>
            <w:vAlign w:val="center"/>
          </w:tcPr>
          <w:p w14:paraId="2E943363"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10</w:t>
            </w:r>
          </w:p>
        </w:tc>
        <w:tc>
          <w:tcPr>
            <w:tcW w:w="1559" w:type="dxa"/>
            <w:vAlign w:val="center"/>
          </w:tcPr>
          <w:p w14:paraId="068427F9"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3</w:t>
            </w:r>
          </w:p>
        </w:tc>
        <w:tc>
          <w:tcPr>
            <w:tcW w:w="1665" w:type="dxa"/>
            <w:vAlign w:val="center"/>
          </w:tcPr>
          <w:p w14:paraId="16FE281E" w14:textId="77777777" w:rsidR="00890D38" w:rsidRPr="00DA5C88" w:rsidRDefault="00890D38" w:rsidP="00460626">
            <w:pPr>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38</w:t>
            </w:r>
          </w:p>
        </w:tc>
      </w:tr>
      <w:tr w:rsidR="00890D38" w:rsidRPr="00DA5C88" w14:paraId="3D335002" w14:textId="77777777" w:rsidTr="00B817BE">
        <w:tc>
          <w:tcPr>
            <w:tcW w:w="2830" w:type="dxa"/>
          </w:tcPr>
          <w:p w14:paraId="0857357B" w14:textId="77777777" w:rsidR="00890D38" w:rsidRPr="00DA5C88" w:rsidRDefault="00890D38" w:rsidP="00460626">
            <w:pPr>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Tình trạng: Chưa xây dựng</w:t>
            </w:r>
          </w:p>
        </w:tc>
        <w:tc>
          <w:tcPr>
            <w:tcW w:w="1560" w:type="dxa"/>
            <w:vAlign w:val="center"/>
          </w:tcPr>
          <w:p w14:paraId="14AB5BD2"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12</w:t>
            </w:r>
          </w:p>
        </w:tc>
        <w:tc>
          <w:tcPr>
            <w:tcW w:w="1701" w:type="dxa"/>
            <w:vAlign w:val="center"/>
          </w:tcPr>
          <w:p w14:paraId="0CEE3A3E"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7</w:t>
            </w:r>
          </w:p>
        </w:tc>
        <w:tc>
          <w:tcPr>
            <w:tcW w:w="1559" w:type="dxa"/>
            <w:vAlign w:val="center"/>
          </w:tcPr>
          <w:p w14:paraId="2A3D23C8"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2</w:t>
            </w:r>
          </w:p>
        </w:tc>
        <w:tc>
          <w:tcPr>
            <w:tcW w:w="1665" w:type="dxa"/>
            <w:vAlign w:val="center"/>
          </w:tcPr>
          <w:p w14:paraId="06927F89" w14:textId="77777777" w:rsidR="00890D38" w:rsidRPr="00DA5C88" w:rsidRDefault="00890D38" w:rsidP="00460626">
            <w:pPr>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21</w:t>
            </w:r>
          </w:p>
        </w:tc>
      </w:tr>
      <w:tr w:rsidR="00890D38" w:rsidRPr="00DA5C88" w14:paraId="370B1F41" w14:textId="77777777" w:rsidTr="00B817BE">
        <w:tc>
          <w:tcPr>
            <w:tcW w:w="2830" w:type="dxa"/>
          </w:tcPr>
          <w:p w14:paraId="74914121" w14:textId="77777777" w:rsidR="00890D38" w:rsidRPr="00DA5C88" w:rsidRDefault="00890D38" w:rsidP="00460626">
            <w:pPr>
              <w:jc w:val="both"/>
              <w:rPr>
                <w:rFonts w:ascii="Times New Roman" w:eastAsia="Times New Roman" w:hAnsi="Times New Roman" w:cs="Times New Roman"/>
                <w:i/>
                <w:sz w:val="26"/>
                <w:szCs w:val="26"/>
                <w:lang w:val="vi-VN"/>
              </w:rPr>
            </w:pPr>
            <w:r w:rsidRPr="00DA5C88">
              <w:rPr>
                <w:rFonts w:ascii="Times New Roman" w:eastAsia="Times New Roman" w:hAnsi="Times New Roman" w:cs="Times New Roman"/>
                <w:i/>
                <w:sz w:val="26"/>
                <w:szCs w:val="26"/>
                <w:lang w:val="vi-VN"/>
              </w:rPr>
              <w:t>Dự án chưa xây dựng/Tổng dự án</w:t>
            </w:r>
          </w:p>
        </w:tc>
        <w:tc>
          <w:tcPr>
            <w:tcW w:w="1560" w:type="dxa"/>
            <w:vAlign w:val="center"/>
          </w:tcPr>
          <w:p w14:paraId="037C781E" w14:textId="77777777" w:rsidR="00890D38" w:rsidRPr="00DA5C88" w:rsidRDefault="00890D38" w:rsidP="00460626">
            <w:pPr>
              <w:jc w:val="center"/>
              <w:rPr>
                <w:rFonts w:ascii="Times New Roman" w:eastAsia="Times New Roman" w:hAnsi="Times New Roman" w:cs="Times New Roman"/>
                <w:i/>
                <w:sz w:val="26"/>
                <w:szCs w:val="26"/>
                <w:lang w:val="vi-VN"/>
              </w:rPr>
            </w:pPr>
            <w:r w:rsidRPr="00DA5C88">
              <w:rPr>
                <w:rFonts w:ascii="Times New Roman" w:eastAsia="Times New Roman" w:hAnsi="Times New Roman" w:cs="Times New Roman"/>
                <w:i/>
                <w:sz w:val="26"/>
                <w:szCs w:val="26"/>
                <w:lang w:val="vi-VN"/>
              </w:rPr>
              <w:t>48%</w:t>
            </w:r>
          </w:p>
        </w:tc>
        <w:tc>
          <w:tcPr>
            <w:tcW w:w="1701" w:type="dxa"/>
            <w:vAlign w:val="center"/>
          </w:tcPr>
          <w:p w14:paraId="5918C461" w14:textId="77777777" w:rsidR="00890D38" w:rsidRPr="00DA5C88" w:rsidRDefault="00890D38" w:rsidP="00460626">
            <w:pPr>
              <w:jc w:val="center"/>
              <w:rPr>
                <w:rFonts w:ascii="Times New Roman" w:eastAsia="Times New Roman" w:hAnsi="Times New Roman" w:cs="Times New Roman"/>
                <w:i/>
                <w:sz w:val="26"/>
                <w:szCs w:val="26"/>
                <w:lang w:val="vi-VN"/>
              </w:rPr>
            </w:pPr>
            <w:r w:rsidRPr="00DA5C88">
              <w:rPr>
                <w:rFonts w:ascii="Times New Roman" w:eastAsia="Times New Roman" w:hAnsi="Times New Roman" w:cs="Times New Roman"/>
                <w:i/>
                <w:sz w:val="26"/>
                <w:szCs w:val="26"/>
                <w:lang w:val="vi-VN"/>
              </w:rPr>
              <w:t>70%</w:t>
            </w:r>
          </w:p>
        </w:tc>
        <w:tc>
          <w:tcPr>
            <w:tcW w:w="1559" w:type="dxa"/>
            <w:vAlign w:val="center"/>
          </w:tcPr>
          <w:p w14:paraId="2632A0E5" w14:textId="77777777" w:rsidR="00890D38" w:rsidRPr="00DA5C88" w:rsidRDefault="00890D38" w:rsidP="00460626">
            <w:pPr>
              <w:jc w:val="center"/>
              <w:rPr>
                <w:rFonts w:ascii="Times New Roman" w:eastAsia="Times New Roman" w:hAnsi="Times New Roman" w:cs="Times New Roman"/>
                <w:i/>
                <w:sz w:val="26"/>
                <w:szCs w:val="26"/>
                <w:lang w:val="vi-VN"/>
              </w:rPr>
            </w:pPr>
            <w:r w:rsidRPr="00DA5C88">
              <w:rPr>
                <w:rFonts w:ascii="Times New Roman" w:eastAsia="Times New Roman" w:hAnsi="Times New Roman" w:cs="Times New Roman"/>
                <w:i/>
                <w:sz w:val="26"/>
                <w:szCs w:val="26"/>
                <w:lang w:val="vi-VN"/>
              </w:rPr>
              <w:t>67%</w:t>
            </w:r>
          </w:p>
        </w:tc>
        <w:tc>
          <w:tcPr>
            <w:tcW w:w="1665" w:type="dxa"/>
            <w:vAlign w:val="center"/>
          </w:tcPr>
          <w:p w14:paraId="7F533AFE" w14:textId="77777777" w:rsidR="00890D38" w:rsidRPr="00DA5C88" w:rsidRDefault="00890D38" w:rsidP="00460626">
            <w:pPr>
              <w:jc w:val="center"/>
              <w:rPr>
                <w:rFonts w:ascii="Times New Roman" w:eastAsia="Times New Roman" w:hAnsi="Times New Roman" w:cs="Times New Roman"/>
                <w:b/>
                <w:i/>
                <w:sz w:val="26"/>
                <w:szCs w:val="26"/>
                <w:lang w:val="vi-VN"/>
              </w:rPr>
            </w:pPr>
            <w:r w:rsidRPr="00DA5C88">
              <w:rPr>
                <w:rFonts w:ascii="Times New Roman" w:eastAsia="Times New Roman" w:hAnsi="Times New Roman" w:cs="Times New Roman"/>
                <w:b/>
                <w:i/>
                <w:sz w:val="26"/>
                <w:szCs w:val="26"/>
                <w:lang w:val="vi-VN"/>
              </w:rPr>
              <w:t>55%</w:t>
            </w:r>
          </w:p>
        </w:tc>
      </w:tr>
      <w:tr w:rsidR="00890D38" w:rsidRPr="00DA5C88" w14:paraId="0CD23F85" w14:textId="77777777" w:rsidTr="00B817BE">
        <w:tc>
          <w:tcPr>
            <w:tcW w:w="2830" w:type="dxa"/>
          </w:tcPr>
          <w:p w14:paraId="40BAD98E" w14:textId="77777777" w:rsidR="00890D38" w:rsidRPr="00DA5C88" w:rsidRDefault="00890D38" w:rsidP="00460626">
            <w:pPr>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Tổng mức đầu tư</w:t>
            </w:r>
          </w:p>
        </w:tc>
        <w:tc>
          <w:tcPr>
            <w:tcW w:w="1560" w:type="dxa"/>
            <w:vAlign w:val="center"/>
          </w:tcPr>
          <w:p w14:paraId="5B38E75D"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148,706</w:t>
            </w:r>
          </w:p>
        </w:tc>
        <w:tc>
          <w:tcPr>
            <w:tcW w:w="1701" w:type="dxa"/>
            <w:vAlign w:val="center"/>
          </w:tcPr>
          <w:p w14:paraId="3110BF44"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58,002</w:t>
            </w:r>
          </w:p>
        </w:tc>
        <w:tc>
          <w:tcPr>
            <w:tcW w:w="1559" w:type="dxa"/>
            <w:vAlign w:val="center"/>
          </w:tcPr>
          <w:p w14:paraId="6A865D6E"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41,461</w:t>
            </w:r>
          </w:p>
        </w:tc>
        <w:tc>
          <w:tcPr>
            <w:tcW w:w="1665" w:type="dxa"/>
            <w:vAlign w:val="center"/>
          </w:tcPr>
          <w:p w14:paraId="3FBB3AF9" w14:textId="77777777" w:rsidR="00890D38" w:rsidRPr="00DA5C88" w:rsidRDefault="00890D38" w:rsidP="00460626">
            <w:pPr>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248,169</w:t>
            </w:r>
          </w:p>
        </w:tc>
      </w:tr>
      <w:tr w:rsidR="00890D38" w:rsidRPr="00DA5C88" w14:paraId="4D50F24F" w14:textId="77777777" w:rsidTr="00B817BE">
        <w:tc>
          <w:tcPr>
            <w:tcW w:w="2830" w:type="dxa"/>
          </w:tcPr>
          <w:p w14:paraId="78DB9BB8" w14:textId="77777777" w:rsidR="00890D38" w:rsidRPr="00DA5C88" w:rsidRDefault="00890D38" w:rsidP="00460626">
            <w:pPr>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 Ngân sách Thành phố</w:t>
            </w:r>
          </w:p>
        </w:tc>
        <w:tc>
          <w:tcPr>
            <w:tcW w:w="1560" w:type="dxa"/>
            <w:vAlign w:val="center"/>
          </w:tcPr>
          <w:p w14:paraId="1BF1C9D9"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91,423</w:t>
            </w:r>
          </w:p>
        </w:tc>
        <w:tc>
          <w:tcPr>
            <w:tcW w:w="1701" w:type="dxa"/>
            <w:vAlign w:val="center"/>
          </w:tcPr>
          <w:p w14:paraId="25D941CE"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26,415</w:t>
            </w:r>
          </w:p>
        </w:tc>
        <w:tc>
          <w:tcPr>
            <w:tcW w:w="1559" w:type="dxa"/>
            <w:vAlign w:val="center"/>
          </w:tcPr>
          <w:p w14:paraId="1ABE499D"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14,807</w:t>
            </w:r>
          </w:p>
        </w:tc>
        <w:tc>
          <w:tcPr>
            <w:tcW w:w="1665" w:type="dxa"/>
            <w:vAlign w:val="center"/>
          </w:tcPr>
          <w:p w14:paraId="111AD458" w14:textId="77777777" w:rsidR="00890D38" w:rsidRPr="00DA5C88" w:rsidRDefault="00890D38" w:rsidP="00460626">
            <w:pPr>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132,645</w:t>
            </w:r>
          </w:p>
        </w:tc>
      </w:tr>
      <w:tr w:rsidR="00890D38" w:rsidRPr="00DA5C88" w14:paraId="41C118C6" w14:textId="77777777" w:rsidTr="00B817BE">
        <w:tc>
          <w:tcPr>
            <w:tcW w:w="2830" w:type="dxa"/>
          </w:tcPr>
          <w:p w14:paraId="356C9F56" w14:textId="77777777" w:rsidR="00890D38" w:rsidRPr="00DA5C88" w:rsidRDefault="00890D38" w:rsidP="00460626">
            <w:pPr>
              <w:jc w:val="both"/>
              <w:rPr>
                <w:rFonts w:ascii="Times New Roman" w:eastAsia="Times New Roman" w:hAnsi="Times New Roman" w:cs="Times New Roman"/>
                <w:i/>
                <w:sz w:val="26"/>
                <w:szCs w:val="26"/>
                <w:lang w:val="vi-VN"/>
              </w:rPr>
            </w:pPr>
            <w:r w:rsidRPr="00DA5C88">
              <w:rPr>
                <w:rFonts w:ascii="Times New Roman" w:eastAsia="Times New Roman" w:hAnsi="Times New Roman" w:cs="Times New Roman"/>
                <w:i/>
                <w:sz w:val="26"/>
                <w:szCs w:val="26"/>
                <w:lang w:val="vi-VN"/>
              </w:rPr>
              <w:t>Ngân sách TP/Tổng mức đầu tư</w:t>
            </w:r>
          </w:p>
        </w:tc>
        <w:tc>
          <w:tcPr>
            <w:tcW w:w="1560" w:type="dxa"/>
            <w:vAlign w:val="center"/>
          </w:tcPr>
          <w:p w14:paraId="23296988" w14:textId="77777777" w:rsidR="00890D38" w:rsidRPr="00DA5C88" w:rsidRDefault="00890D38" w:rsidP="00460626">
            <w:pPr>
              <w:jc w:val="center"/>
              <w:rPr>
                <w:rFonts w:ascii="Times New Roman" w:eastAsia="Times New Roman" w:hAnsi="Times New Roman" w:cs="Times New Roman"/>
                <w:i/>
                <w:sz w:val="26"/>
                <w:szCs w:val="26"/>
                <w:lang w:val="vi-VN"/>
              </w:rPr>
            </w:pPr>
            <w:r w:rsidRPr="00DA5C88">
              <w:rPr>
                <w:rFonts w:ascii="Times New Roman" w:eastAsia="Times New Roman" w:hAnsi="Times New Roman" w:cs="Times New Roman"/>
                <w:i/>
                <w:sz w:val="26"/>
                <w:szCs w:val="26"/>
                <w:lang w:val="vi-VN"/>
              </w:rPr>
              <w:t>61%</w:t>
            </w:r>
          </w:p>
        </w:tc>
        <w:tc>
          <w:tcPr>
            <w:tcW w:w="1701" w:type="dxa"/>
            <w:vAlign w:val="center"/>
          </w:tcPr>
          <w:p w14:paraId="06C23E3B" w14:textId="77777777" w:rsidR="00890D38" w:rsidRPr="00DA5C88" w:rsidRDefault="00890D38" w:rsidP="00460626">
            <w:pPr>
              <w:jc w:val="center"/>
              <w:rPr>
                <w:rFonts w:ascii="Times New Roman" w:eastAsia="Times New Roman" w:hAnsi="Times New Roman" w:cs="Times New Roman"/>
                <w:i/>
                <w:sz w:val="26"/>
                <w:szCs w:val="26"/>
                <w:lang w:val="vi-VN"/>
              </w:rPr>
            </w:pPr>
            <w:r w:rsidRPr="00DA5C88">
              <w:rPr>
                <w:rFonts w:ascii="Times New Roman" w:eastAsia="Times New Roman" w:hAnsi="Times New Roman" w:cs="Times New Roman"/>
                <w:i/>
                <w:sz w:val="26"/>
                <w:szCs w:val="26"/>
                <w:lang w:val="vi-VN"/>
              </w:rPr>
              <w:t>46%</w:t>
            </w:r>
          </w:p>
        </w:tc>
        <w:tc>
          <w:tcPr>
            <w:tcW w:w="1559" w:type="dxa"/>
            <w:vAlign w:val="center"/>
          </w:tcPr>
          <w:p w14:paraId="64DA1D45" w14:textId="77777777" w:rsidR="00890D38" w:rsidRPr="00DA5C88" w:rsidRDefault="00890D38" w:rsidP="00460626">
            <w:pPr>
              <w:jc w:val="center"/>
              <w:rPr>
                <w:rFonts w:ascii="Times New Roman" w:eastAsia="Times New Roman" w:hAnsi="Times New Roman" w:cs="Times New Roman"/>
                <w:i/>
                <w:sz w:val="26"/>
                <w:szCs w:val="26"/>
                <w:lang w:val="vi-VN"/>
              </w:rPr>
            </w:pPr>
            <w:r w:rsidRPr="00DA5C88">
              <w:rPr>
                <w:rFonts w:ascii="Times New Roman" w:eastAsia="Times New Roman" w:hAnsi="Times New Roman" w:cs="Times New Roman"/>
                <w:i/>
                <w:sz w:val="26"/>
                <w:szCs w:val="26"/>
                <w:lang w:val="vi-VN"/>
              </w:rPr>
              <w:t>36%</w:t>
            </w:r>
          </w:p>
        </w:tc>
        <w:tc>
          <w:tcPr>
            <w:tcW w:w="1665" w:type="dxa"/>
            <w:vAlign w:val="center"/>
          </w:tcPr>
          <w:p w14:paraId="1EA1D6FB" w14:textId="77777777" w:rsidR="00890D38" w:rsidRPr="00DA5C88" w:rsidRDefault="00890D38" w:rsidP="00460626">
            <w:pPr>
              <w:jc w:val="center"/>
              <w:rPr>
                <w:rFonts w:ascii="Times New Roman" w:eastAsia="Times New Roman" w:hAnsi="Times New Roman" w:cs="Times New Roman"/>
                <w:b/>
                <w:i/>
                <w:sz w:val="26"/>
                <w:szCs w:val="26"/>
                <w:lang w:val="vi-VN"/>
              </w:rPr>
            </w:pPr>
            <w:r w:rsidRPr="00DA5C88">
              <w:rPr>
                <w:rFonts w:ascii="Times New Roman" w:eastAsia="Times New Roman" w:hAnsi="Times New Roman" w:cs="Times New Roman"/>
                <w:b/>
                <w:i/>
                <w:sz w:val="26"/>
                <w:szCs w:val="26"/>
                <w:lang w:val="vi-VN"/>
              </w:rPr>
              <w:t>53%</w:t>
            </w:r>
          </w:p>
        </w:tc>
      </w:tr>
      <w:tr w:rsidR="00890D38" w:rsidRPr="00DA5C88" w14:paraId="25551BAE" w14:textId="77777777" w:rsidTr="00B817BE">
        <w:tc>
          <w:tcPr>
            <w:tcW w:w="2830" w:type="dxa"/>
          </w:tcPr>
          <w:p w14:paraId="27E0499C" w14:textId="77777777" w:rsidR="00890D38" w:rsidRPr="00DA5C88" w:rsidRDefault="00890D38" w:rsidP="00460626">
            <w:pPr>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 Vốn khác</w:t>
            </w:r>
          </w:p>
        </w:tc>
        <w:tc>
          <w:tcPr>
            <w:tcW w:w="1560" w:type="dxa"/>
            <w:vAlign w:val="center"/>
          </w:tcPr>
          <w:p w14:paraId="6274ABCE"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57,274</w:t>
            </w:r>
          </w:p>
        </w:tc>
        <w:tc>
          <w:tcPr>
            <w:tcW w:w="1701" w:type="dxa"/>
            <w:vAlign w:val="center"/>
          </w:tcPr>
          <w:p w14:paraId="30EFD847"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31,587</w:t>
            </w:r>
          </w:p>
        </w:tc>
        <w:tc>
          <w:tcPr>
            <w:tcW w:w="1559" w:type="dxa"/>
            <w:vAlign w:val="center"/>
          </w:tcPr>
          <w:p w14:paraId="7C48D87B" w14:textId="77777777" w:rsidR="00890D38" w:rsidRPr="00DA5C88" w:rsidRDefault="00890D38" w:rsidP="00460626">
            <w:pPr>
              <w:jc w:val="center"/>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26,654</w:t>
            </w:r>
          </w:p>
        </w:tc>
        <w:tc>
          <w:tcPr>
            <w:tcW w:w="1665" w:type="dxa"/>
            <w:vAlign w:val="center"/>
          </w:tcPr>
          <w:p w14:paraId="11A5EBD6" w14:textId="77777777" w:rsidR="00890D38" w:rsidRPr="00DA5C88" w:rsidRDefault="00890D38" w:rsidP="00460626">
            <w:pPr>
              <w:jc w:val="center"/>
              <w:rPr>
                <w:rFonts w:ascii="Times New Roman" w:eastAsia="Times New Roman" w:hAnsi="Times New Roman" w:cs="Times New Roman"/>
                <w:b/>
                <w:sz w:val="26"/>
                <w:szCs w:val="26"/>
                <w:lang w:val="vi-VN"/>
              </w:rPr>
            </w:pPr>
            <w:r w:rsidRPr="00DA5C88">
              <w:rPr>
                <w:rFonts w:ascii="Times New Roman" w:eastAsia="Times New Roman" w:hAnsi="Times New Roman" w:cs="Times New Roman"/>
                <w:b/>
                <w:sz w:val="26"/>
                <w:szCs w:val="26"/>
                <w:lang w:val="vi-VN"/>
              </w:rPr>
              <w:t>115,515</w:t>
            </w:r>
          </w:p>
        </w:tc>
      </w:tr>
      <w:tr w:rsidR="00890D38" w:rsidRPr="00DA5C88" w14:paraId="206B801C" w14:textId="77777777" w:rsidTr="00B817BE">
        <w:tc>
          <w:tcPr>
            <w:tcW w:w="2830" w:type="dxa"/>
          </w:tcPr>
          <w:p w14:paraId="4D1398C2" w14:textId="77777777" w:rsidR="00890D38" w:rsidRPr="00DA5C88" w:rsidRDefault="00890D38" w:rsidP="00460626">
            <w:pPr>
              <w:jc w:val="both"/>
              <w:rPr>
                <w:rFonts w:ascii="Times New Roman" w:eastAsia="Times New Roman" w:hAnsi="Times New Roman" w:cs="Times New Roman"/>
                <w:i/>
                <w:sz w:val="26"/>
                <w:szCs w:val="26"/>
                <w:lang w:val="vi-VN"/>
              </w:rPr>
            </w:pPr>
            <w:r w:rsidRPr="00DA5C88">
              <w:rPr>
                <w:rFonts w:ascii="Times New Roman" w:eastAsia="Times New Roman" w:hAnsi="Times New Roman" w:cs="Times New Roman"/>
                <w:i/>
                <w:sz w:val="26"/>
                <w:szCs w:val="26"/>
                <w:lang w:val="vi-VN"/>
              </w:rPr>
              <w:t>Vốn khác/Tổng mức đầu tư</w:t>
            </w:r>
          </w:p>
        </w:tc>
        <w:tc>
          <w:tcPr>
            <w:tcW w:w="1560" w:type="dxa"/>
            <w:vAlign w:val="center"/>
          </w:tcPr>
          <w:p w14:paraId="03D82D50" w14:textId="77777777" w:rsidR="00890D38" w:rsidRPr="00DA5C88" w:rsidRDefault="00890D38" w:rsidP="00460626">
            <w:pPr>
              <w:jc w:val="center"/>
              <w:rPr>
                <w:rFonts w:ascii="Times New Roman" w:eastAsia="Times New Roman" w:hAnsi="Times New Roman" w:cs="Times New Roman"/>
                <w:i/>
                <w:sz w:val="26"/>
                <w:szCs w:val="26"/>
                <w:lang w:val="vi-VN"/>
              </w:rPr>
            </w:pPr>
            <w:r w:rsidRPr="00DA5C88">
              <w:rPr>
                <w:rFonts w:ascii="Times New Roman" w:eastAsia="Times New Roman" w:hAnsi="Times New Roman" w:cs="Times New Roman"/>
                <w:i/>
                <w:sz w:val="26"/>
                <w:szCs w:val="26"/>
                <w:lang w:val="vi-VN"/>
              </w:rPr>
              <w:t>39%</w:t>
            </w:r>
          </w:p>
        </w:tc>
        <w:tc>
          <w:tcPr>
            <w:tcW w:w="1701" w:type="dxa"/>
            <w:vAlign w:val="center"/>
          </w:tcPr>
          <w:p w14:paraId="174EF995" w14:textId="77777777" w:rsidR="00890D38" w:rsidRPr="00DA5C88" w:rsidRDefault="00890D38" w:rsidP="00460626">
            <w:pPr>
              <w:jc w:val="center"/>
              <w:rPr>
                <w:rFonts w:ascii="Times New Roman" w:eastAsia="Times New Roman" w:hAnsi="Times New Roman" w:cs="Times New Roman"/>
                <w:i/>
                <w:sz w:val="26"/>
                <w:szCs w:val="26"/>
                <w:lang w:val="vi-VN"/>
              </w:rPr>
            </w:pPr>
            <w:r w:rsidRPr="00DA5C88">
              <w:rPr>
                <w:rFonts w:ascii="Times New Roman" w:eastAsia="Times New Roman" w:hAnsi="Times New Roman" w:cs="Times New Roman"/>
                <w:i/>
                <w:sz w:val="26"/>
                <w:szCs w:val="26"/>
                <w:lang w:val="vi-VN"/>
              </w:rPr>
              <w:t>54%</w:t>
            </w:r>
          </w:p>
        </w:tc>
        <w:tc>
          <w:tcPr>
            <w:tcW w:w="1559" w:type="dxa"/>
            <w:vAlign w:val="center"/>
          </w:tcPr>
          <w:p w14:paraId="4BC9805A" w14:textId="77777777" w:rsidR="00890D38" w:rsidRPr="00DA5C88" w:rsidRDefault="00890D38" w:rsidP="00460626">
            <w:pPr>
              <w:jc w:val="center"/>
              <w:rPr>
                <w:rFonts w:ascii="Times New Roman" w:eastAsia="Times New Roman" w:hAnsi="Times New Roman" w:cs="Times New Roman"/>
                <w:i/>
                <w:sz w:val="26"/>
                <w:szCs w:val="26"/>
                <w:lang w:val="vi-VN"/>
              </w:rPr>
            </w:pPr>
            <w:r w:rsidRPr="00DA5C88">
              <w:rPr>
                <w:rFonts w:ascii="Times New Roman" w:eastAsia="Times New Roman" w:hAnsi="Times New Roman" w:cs="Times New Roman"/>
                <w:i/>
                <w:sz w:val="26"/>
                <w:szCs w:val="26"/>
                <w:lang w:val="vi-VN"/>
              </w:rPr>
              <w:t>64%</w:t>
            </w:r>
          </w:p>
        </w:tc>
        <w:tc>
          <w:tcPr>
            <w:tcW w:w="1665" w:type="dxa"/>
            <w:vAlign w:val="center"/>
          </w:tcPr>
          <w:p w14:paraId="0C4DD185" w14:textId="77777777" w:rsidR="00890D38" w:rsidRPr="00DA5C88" w:rsidRDefault="00890D38" w:rsidP="00460626">
            <w:pPr>
              <w:jc w:val="center"/>
              <w:rPr>
                <w:rFonts w:ascii="Times New Roman" w:eastAsia="Times New Roman" w:hAnsi="Times New Roman" w:cs="Times New Roman"/>
                <w:b/>
                <w:i/>
                <w:sz w:val="26"/>
                <w:szCs w:val="26"/>
                <w:lang w:val="vi-VN"/>
              </w:rPr>
            </w:pPr>
            <w:r w:rsidRPr="00DA5C88">
              <w:rPr>
                <w:rFonts w:ascii="Times New Roman" w:eastAsia="Times New Roman" w:hAnsi="Times New Roman" w:cs="Times New Roman"/>
                <w:b/>
                <w:i/>
                <w:sz w:val="26"/>
                <w:szCs w:val="26"/>
                <w:lang w:val="vi-VN"/>
              </w:rPr>
              <w:t>47%</w:t>
            </w:r>
          </w:p>
        </w:tc>
      </w:tr>
    </w:tbl>
    <w:p w14:paraId="571E6CC4" w14:textId="77777777" w:rsidR="00890D38" w:rsidRPr="00DA5C88" w:rsidRDefault="00890D38" w:rsidP="00702D31">
      <w:pPr>
        <w:spacing w:before="120" w:after="120" w:line="240" w:lineRule="auto"/>
        <w:ind w:firstLine="709"/>
        <w:jc w:val="both"/>
        <w:rPr>
          <w:rFonts w:ascii="Times New Roman" w:eastAsia="Times New Roman" w:hAnsi="Times New Roman" w:cs="Times New Roman"/>
          <w:i/>
          <w:sz w:val="24"/>
          <w:szCs w:val="24"/>
          <w:lang w:val="vi-VN"/>
        </w:rPr>
      </w:pPr>
      <w:r w:rsidRPr="00DA5C88">
        <w:rPr>
          <w:rFonts w:ascii="Times New Roman" w:eastAsia="Times New Roman" w:hAnsi="Times New Roman" w:cs="Times New Roman"/>
          <w:i/>
          <w:sz w:val="24"/>
          <w:szCs w:val="24"/>
          <w:lang w:val="vi-VN"/>
        </w:rPr>
        <w:t>Nguồn: Dự thảo Đề án Thu phí sử dụng công trình kết cấu hạ tầng, công trình dịch vụ, tiện ích công cộng trong khu vực cửa khẩu cảng biển trên địa bàn Thành phố Hồ Chí Minh</w:t>
      </w:r>
    </w:p>
    <w:p w14:paraId="453F76B1" w14:textId="77777777" w:rsidR="00890D38" w:rsidRPr="00DA5C88" w:rsidRDefault="00890D38" w:rsidP="001B4980">
      <w:pPr>
        <w:spacing w:before="60" w:afterLines="40" w:after="96"/>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 xml:space="preserve">Theo tổng hợp từ báo cáo của UBND Thành phố và Dự thảo Đề án năm 2025, nguồn thu từ phí hạ tầng cảng biển được xác định là một phần vốn quan trọng để triển khai các dự án giao thông trọng điểm tại 03 khu vực: Cát Lái, Hiệp Phước </w:t>
      </w:r>
      <w:r>
        <w:rPr>
          <w:rFonts w:ascii="Times New Roman" w:eastAsia="Times New Roman" w:hAnsi="Times New Roman" w:cs="Times New Roman"/>
          <w:sz w:val="26"/>
          <w:szCs w:val="26"/>
          <w:lang w:val="en-US"/>
        </w:rPr>
        <w:t>-</w:t>
      </w:r>
      <w:r w:rsidRPr="00DA5C88">
        <w:rPr>
          <w:rFonts w:ascii="Times New Roman" w:eastAsia="Times New Roman" w:hAnsi="Times New Roman" w:cs="Times New Roman"/>
          <w:sz w:val="26"/>
          <w:szCs w:val="26"/>
          <w:lang w:val="vi-VN"/>
        </w:rPr>
        <w:t xml:space="preserve"> Sài Gòn </w:t>
      </w:r>
      <w:r>
        <w:rPr>
          <w:rFonts w:ascii="Times New Roman" w:eastAsia="Times New Roman" w:hAnsi="Times New Roman" w:cs="Times New Roman"/>
          <w:sz w:val="26"/>
          <w:szCs w:val="26"/>
          <w:lang w:val="en-US"/>
        </w:rPr>
        <w:t>-</w:t>
      </w:r>
      <w:r w:rsidRPr="00DA5C88">
        <w:rPr>
          <w:rFonts w:ascii="Times New Roman" w:eastAsia="Times New Roman" w:hAnsi="Times New Roman" w:cs="Times New Roman"/>
          <w:sz w:val="26"/>
          <w:szCs w:val="26"/>
          <w:lang w:val="vi-VN"/>
        </w:rPr>
        <w:t xml:space="preserve"> Nhà Bè, và Cái Mép </w:t>
      </w:r>
      <w:r>
        <w:rPr>
          <w:rFonts w:ascii="Times New Roman" w:eastAsia="Times New Roman" w:hAnsi="Times New Roman" w:cs="Times New Roman"/>
          <w:sz w:val="26"/>
          <w:szCs w:val="26"/>
          <w:lang w:val="en-US"/>
        </w:rPr>
        <w:t>-</w:t>
      </w:r>
      <w:r w:rsidRPr="00DA5C88">
        <w:rPr>
          <w:rFonts w:ascii="Times New Roman" w:eastAsia="Times New Roman" w:hAnsi="Times New Roman" w:cs="Times New Roman"/>
          <w:sz w:val="26"/>
          <w:szCs w:val="26"/>
          <w:lang w:val="vi-VN"/>
        </w:rPr>
        <w:t xml:space="preserve"> Thị Vải. Tuy nhiên, thực tế cho thấy, tiến độ triển khai các dự án này còn rất chậm, trong khi nguồn thu từ phí hạ tầng đã đạt quy mô lớn.</w:t>
      </w:r>
    </w:p>
    <w:p w14:paraId="2EB935D3" w14:textId="77777777" w:rsidR="00890D38" w:rsidRPr="00DA5C88" w:rsidRDefault="00890D38" w:rsidP="001B4980">
      <w:pPr>
        <w:spacing w:before="60" w:afterLines="40" w:after="96"/>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 xml:space="preserve">Cụ thể, trong tổng số 38 dự án kết nối hạ tầng khu vực cảng biển, có tới 21 dự án (chiếm 55%) vẫn đang trong giai đoạn chưa xây dựng, chỉ đang xem xét chủ trương đầu </w:t>
      </w:r>
      <w:r w:rsidRPr="00DA5C88">
        <w:rPr>
          <w:rFonts w:ascii="Times New Roman" w:eastAsia="Times New Roman" w:hAnsi="Times New Roman" w:cs="Times New Roman"/>
          <w:sz w:val="26"/>
          <w:szCs w:val="26"/>
          <w:lang w:val="vi-VN"/>
        </w:rPr>
        <w:lastRenderedPageBreak/>
        <w:t xml:space="preserve">tư hoặc đang lập báo cáo nghiên cứu tiền khả thi. Tỷ lệ dự án “chưa xây dựng” tại từng khu vực còn cao hơn: 48% tại Cát Lái, 70% tại Hiệp Phước </w:t>
      </w:r>
      <w:r>
        <w:rPr>
          <w:rFonts w:ascii="Times New Roman" w:eastAsia="Times New Roman" w:hAnsi="Times New Roman" w:cs="Times New Roman"/>
          <w:sz w:val="26"/>
          <w:szCs w:val="26"/>
          <w:lang w:val="en-US"/>
        </w:rPr>
        <w:t>-</w:t>
      </w:r>
      <w:r w:rsidRPr="00DA5C88">
        <w:rPr>
          <w:rFonts w:ascii="Times New Roman" w:eastAsia="Times New Roman" w:hAnsi="Times New Roman" w:cs="Times New Roman"/>
          <w:sz w:val="26"/>
          <w:szCs w:val="26"/>
          <w:lang w:val="vi-VN"/>
        </w:rPr>
        <w:t xml:space="preserve"> Nhà Bè, và 67% tại Cái Mép </w:t>
      </w:r>
      <w:r>
        <w:rPr>
          <w:rFonts w:ascii="Times New Roman" w:eastAsia="Times New Roman" w:hAnsi="Times New Roman" w:cs="Times New Roman"/>
          <w:sz w:val="26"/>
          <w:szCs w:val="26"/>
          <w:lang w:val="en-US"/>
        </w:rPr>
        <w:t>-</w:t>
      </w:r>
      <w:r w:rsidRPr="00DA5C88">
        <w:rPr>
          <w:rFonts w:ascii="Times New Roman" w:eastAsia="Times New Roman" w:hAnsi="Times New Roman" w:cs="Times New Roman"/>
          <w:sz w:val="26"/>
          <w:szCs w:val="26"/>
          <w:lang w:val="vi-VN"/>
        </w:rPr>
        <w:t xml:space="preserve"> Thị Vải. Đây đều là các khu vực có lưu lượng hàng hóa và xe container cao nhất vùng, nhưng hạ tầng kết nối vẫn trong tình trạng quá tải, chưa được cải thiện rõ rệt.</w:t>
      </w:r>
    </w:p>
    <w:p w14:paraId="1252AB1C" w14:textId="77777777" w:rsidR="00890D38" w:rsidRPr="00DA5C88" w:rsidRDefault="00890D38" w:rsidP="001B4980">
      <w:pPr>
        <w:spacing w:before="60" w:afterLines="40" w:after="96"/>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Tổng mức đầu tư cho toàn bộ danh mục dự án là 248.169 tỷ đồng, trong đó nguồn ngân sách Thành phố dự kiến chiếm 132.645 tỷ đồng (tương đương 53% tổng vốn đầu tư), còn lại 47% là vốn huy động từ các nguồn khác (vốn Trung ương, PPP, hoặc xã hội hóa). Riêng khu vực Cát Lái, nơi chiếm hơn một nửa lượng container thông qua của cả nước, dự kiến đầu tư 148.706 tỷ đồng, nhưng đến nay gần một nửa số dự án vẫn chưa được khởi công.</w:t>
      </w:r>
    </w:p>
    <w:p w14:paraId="087B0148" w14:textId="77777777" w:rsidR="00890D38" w:rsidRPr="00DA5C88" w:rsidRDefault="00890D38" w:rsidP="001B4980">
      <w:pPr>
        <w:spacing w:before="60" w:afterLines="40" w:after="96"/>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Đáng chú ý, tỷ lệ giải ngân ngân sách cho các dự án từ nguồn thu phí hiện vẫn tập trung vào giai đoạn trung và dài hạn, phân bổ rải rác trong giai đoạn trung và dài hạn (2026</w:t>
      </w:r>
      <w:r>
        <w:rPr>
          <w:rFonts w:ascii="Times New Roman" w:eastAsia="Times New Roman" w:hAnsi="Times New Roman" w:cs="Times New Roman"/>
          <w:sz w:val="26"/>
          <w:szCs w:val="26"/>
          <w:lang w:val="en-US"/>
        </w:rPr>
        <w:t xml:space="preserve"> - </w:t>
      </w:r>
      <w:r w:rsidRPr="00DA5C88">
        <w:rPr>
          <w:rFonts w:ascii="Times New Roman" w:eastAsia="Times New Roman" w:hAnsi="Times New Roman" w:cs="Times New Roman"/>
          <w:sz w:val="26"/>
          <w:szCs w:val="26"/>
          <w:lang w:val="vi-VN"/>
        </w:rPr>
        <w:t>2030), trong khi phần lớn khoản phí đã được thu trước từ năm 2022. Điều này dẫn đến nghịch lý: nguồn thu ngân sách tăng nhanh nhưng tiến độ đầu tư chậm, các công trình trọng điểm chưa được triển khai kịp thời để giải quyết tình trạng ùn tắc, giảm chi phí logistics hay nâng cao năng lực kết nối cảng biển.</w:t>
      </w:r>
    </w:p>
    <w:p w14:paraId="23E8AA65" w14:textId="77777777" w:rsidR="00B13264" w:rsidRDefault="00890D38" w:rsidP="001B4980">
      <w:pPr>
        <w:spacing w:before="60" w:afterLines="40" w:after="96"/>
        <w:ind w:firstLine="709"/>
        <w:jc w:val="both"/>
        <w:rPr>
          <w:rFonts w:ascii="Times New Roman" w:eastAsia="Times New Roman" w:hAnsi="Times New Roman" w:cs="Times New Roman"/>
          <w:sz w:val="26"/>
          <w:szCs w:val="26"/>
          <w:lang w:val="en-US"/>
        </w:rPr>
      </w:pPr>
      <w:r w:rsidRPr="00DA5C88">
        <w:rPr>
          <w:rFonts w:ascii="Times New Roman" w:eastAsia="Times New Roman" w:hAnsi="Times New Roman" w:cs="Times New Roman"/>
          <w:sz w:val="26"/>
          <w:szCs w:val="26"/>
          <w:lang w:val="vi-VN"/>
        </w:rPr>
        <w:t xml:space="preserve">Tình trạng trên cho thấy, chính sách thu phí hạ tầng cảng biển đang tạo ra độ “lệch pha” giữa thu </w:t>
      </w:r>
      <w:r>
        <w:rPr>
          <w:rFonts w:ascii="Times New Roman" w:eastAsia="Times New Roman" w:hAnsi="Times New Roman" w:cs="Times New Roman"/>
          <w:sz w:val="26"/>
          <w:szCs w:val="26"/>
          <w:lang w:val="en-US"/>
        </w:rPr>
        <w:t>-</w:t>
      </w:r>
      <w:r w:rsidRPr="00DA5C88">
        <w:rPr>
          <w:rFonts w:ascii="Times New Roman" w:eastAsia="Times New Roman" w:hAnsi="Times New Roman" w:cs="Times New Roman"/>
          <w:sz w:val="26"/>
          <w:szCs w:val="26"/>
          <w:lang w:val="vi-VN"/>
        </w:rPr>
        <w:t xml:space="preserve"> chi, khi phần “thu” được triển khai quyết liệt và hiệu quả, nhưng phần “chi” cho đầu tư hạ tầng lại chậm, phân tán và thiếu tính lan tỏa. Nếu không được điều chỉnh, cơ chế này có nguy cơ làm suy giảm niềm tin của doanh nghiệp và mất đi ý nghĩa ban đầu của chính sách, vốn được thiết kế nhằm “thu để đầu tư”, “đầu tư để hỗ trợ phát triển logistics bền vững”.</w:t>
      </w:r>
    </w:p>
    <w:p w14:paraId="24532422" w14:textId="6E3FE2B2" w:rsidR="00890D38" w:rsidRPr="00DA5C88" w:rsidRDefault="00890D38" w:rsidP="001B4980">
      <w:pPr>
        <w:spacing w:before="60" w:afterLines="40" w:after="96"/>
        <w:ind w:firstLine="709"/>
        <w:jc w:val="both"/>
        <w:rPr>
          <w:rFonts w:ascii="Times New Roman" w:eastAsia="Times New Roman" w:hAnsi="Times New Roman" w:cs="Times New Roman"/>
          <w:b/>
          <w:sz w:val="26"/>
          <w:szCs w:val="26"/>
          <w:lang w:val="vi-VN"/>
        </w:rPr>
      </w:pPr>
      <w:r w:rsidRPr="00DA5C88">
        <w:rPr>
          <w:rFonts w:ascii="Times New Roman" w:eastAsia="Times New Roman" w:hAnsi="Times New Roman" w:cs="Times New Roman"/>
          <w:b/>
          <w:color w:val="000000"/>
          <w:sz w:val="26"/>
          <w:szCs w:val="26"/>
          <w:lang w:val="vi-VN"/>
        </w:rPr>
        <w:t>1.2. Ảnh hưởng và sự không phù hợp của chính sách</w:t>
      </w:r>
    </w:p>
    <w:p w14:paraId="249DE9B8" w14:textId="77777777" w:rsidR="00890D38" w:rsidRPr="00DA5C88" w:rsidRDefault="00890D38" w:rsidP="001B4980">
      <w:pPr>
        <w:pStyle w:val="Heading4"/>
        <w:spacing w:before="60" w:afterLines="40" w:after="96"/>
        <w:ind w:firstLine="709"/>
        <w:jc w:val="both"/>
        <w:rPr>
          <w:rFonts w:ascii="Times New Roman" w:eastAsia="Times New Roman" w:hAnsi="Times New Roman" w:cs="Times New Roman"/>
          <w:b/>
          <w:i/>
          <w:iCs/>
          <w:color w:val="000000"/>
          <w:sz w:val="26"/>
          <w:szCs w:val="26"/>
          <w:lang w:val="vi-VN"/>
        </w:rPr>
      </w:pPr>
      <w:r w:rsidRPr="00DA5C88">
        <w:rPr>
          <w:rFonts w:ascii="Times New Roman" w:eastAsia="Times New Roman" w:hAnsi="Times New Roman" w:cs="Times New Roman"/>
          <w:b/>
          <w:i/>
          <w:iCs/>
          <w:color w:val="000000"/>
          <w:sz w:val="26"/>
          <w:szCs w:val="26"/>
          <w:lang w:val="vi-VN"/>
        </w:rPr>
        <w:t>1.2.1. Không phù hợp với thông lệ quốc tế</w:t>
      </w:r>
    </w:p>
    <w:p w14:paraId="678A4898" w14:textId="77777777" w:rsidR="00B13264" w:rsidRDefault="00890D38" w:rsidP="001B4980">
      <w:pPr>
        <w:spacing w:before="60" w:afterLines="40" w:after="96"/>
        <w:ind w:firstLine="709"/>
        <w:jc w:val="both"/>
        <w:rPr>
          <w:rFonts w:ascii="Times New Roman" w:eastAsia="Times New Roman" w:hAnsi="Times New Roman" w:cs="Times New Roman"/>
          <w:sz w:val="26"/>
          <w:szCs w:val="26"/>
          <w:lang w:val="en-US"/>
        </w:rPr>
      </w:pPr>
      <w:r w:rsidRPr="00DA5C88">
        <w:rPr>
          <w:rFonts w:ascii="Times New Roman" w:eastAsia="Times New Roman" w:hAnsi="Times New Roman" w:cs="Times New Roman"/>
          <w:sz w:val="26"/>
          <w:szCs w:val="26"/>
          <w:lang w:val="vi-VN"/>
        </w:rPr>
        <w:t xml:space="preserve">Theo kinh nghiệm quốc tế, phí hạ tầng cảng biển thường được thu ở cấp quốc gia </w:t>
      </w:r>
    </w:p>
    <w:p w14:paraId="591C089E" w14:textId="2FDDB58A" w:rsidR="00890D38" w:rsidRPr="00DA5C88" w:rsidRDefault="00890D38" w:rsidP="001B4980">
      <w:pPr>
        <w:spacing w:before="60" w:afterLines="40" w:after="96"/>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hoặc chính quyền cảng (Port Authority) điều hành, với mục tiêu thống nhất cơ chế tài chính và phân bổ đầu tư theo quy hoạch cảng quốc gia. Ở các trung tâm cảng lớn như Singapore, Busan, Rotterdam hay Hamburg, việc thu phí chủ yếu do doanh nghiệp khai thác cảng hoặc chính quyền cảng thực hiện, và toàn bộ nguồn thu được tái đầu tư trực tiếp cho bảo trì, nâng cấp cầu bến, hệ thống logistics và hạ tầng cảng.</w:t>
      </w:r>
    </w:p>
    <w:p w14:paraId="238367E6" w14:textId="082F85B1" w:rsidR="00890D38" w:rsidRPr="001B4980" w:rsidRDefault="00890D38" w:rsidP="001B4980">
      <w:pPr>
        <w:spacing w:before="60" w:afterLines="40" w:after="96"/>
        <w:ind w:firstLine="709"/>
        <w:jc w:val="both"/>
        <w:rPr>
          <w:rFonts w:ascii="Times New Roman" w:eastAsia="Times New Roman" w:hAnsi="Times New Roman" w:cs="Times New Roman"/>
          <w:spacing w:val="-4"/>
          <w:sz w:val="26"/>
          <w:szCs w:val="26"/>
          <w:lang w:val="vi-VN"/>
        </w:rPr>
      </w:pPr>
      <w:r w:rsidRPr="001B4980">
        <w:rPr>
          <w:rFonts w:ascii="Times New Roman" w:eastAsia="Times New Roman" w:hAnsi="Times New Roman" w:cs="Times New Roman"/>
          <w:spacing w:val="-4"/>
          <w:sz w:val="26"/>
          <w:szCs w:val="26"/>
          <w:lang w:val="vi-VN"/>
        </w:rPr>
        <w:t>Không có quốc gia nào trên thế giới áp dụng mô hình chính quyền địa phương thu phí riêng trên hàng hóa xuất nhập khẩu hoặc trung chuyển tại cảng biển. Việc TP. Hồ Chí Minh và trước đó là Hải Phòng triển khai cơ chế này ở cấp địa phương, trong khi các cảng còn chịu quản lý chuyên ngành của Bộ Xây dựng và Cục Hàng hải và Đường thủy Việt Nam, dẫn đến thiếu tính thống nhất trong chính sách hạ tầng cảng biển quốc gia.</w:t>
      </w:r>
    </w:p>
    <w:p w14:paraId="03359583" w14:textId="77777777" w:rsidR="00890D38" w:rsidRPr="00DA5C88" w:rsidRDefault="00890D38" w:rsidP="001B4980">
      <w:pPr>
        <w:spacing w:before="60" w:afterLines="40" w:after="96"/>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 xml:space="preserve">Mô hình “thu phí hạ tầng cảng biển cấp địa phương” cũng </w:t>
      </w:r>
      <w:r w:rsidRPr="00DA5C88">
        <w:rPr>
          <w:rFonts w:ascii="Times New Roman" w:eastAsia="Times New Roman" w:hAnsi="Times New Roman" w:cs="Times New Roman"/>
          <w:b/>
          <w:sz w:val="26"/>
          <w:szCs w:val="26"/>
          <w:lang w:val="vi-VN"/>
        </w:rPr>
        <w:t>dễ tạo sự chồng chéo về chi phí và quản lý, đặc biệt khi doanh nghiệp đã phải nộp nhiều loại phí liên quan khác</w:t>
      </w:r>
      <w:r w:rsidRPr="00DA5C88">
        <w:rPr>
          <w:rFonts w:ascii="Times New Roman" w:eastAsia="Times New Roman" w:hAnsi="Times New Roman" w:cs="Times New Roman"/>
          <w:sz w:val="26"/>
          <w:szCs w:val="26"/>
          <w:lang w:val="vi-VN"/>
        </w:rPr>
        <w:t xml:space="preserve"> (phí cầu đường BOT, phí bảo trì đường bộ, phí lưu bãi, phí hải quan... Điều này không chỉ làm tăng chi phí logistics tổng thể mà còn làm suy giảm năng lực cạnh </w:t>
      </w:r>
      <w:r w:rsidRPr="00DA5C88">
        <w:rPr>
          <w:rFonts w:ascii="Times New Roman" w:eastAsia="Times New Roman" w:hAnsi="Times New Roman" w:cs="Times New Roman"/>
          <w:sz w:val="26"/>
          <w:szCs w:val="26"/>
          <w:lang w:val="vi-VN"/>
        </w:rPr>
        <w:lastRenderedPageBreak/>
        <w:t>tranh của hàng hóa Việt Nam khi so sánh với các trung tâm cảng khu vực như Singapore, Klang (Malaysia) hay Laem Chabang (Thái Lan), nơi không thu phí hạ tầng tương tự.</w:t>
      </w:r>
    </w:p>
    <w:p w14:paraId="39B5637C" w14:textId="77777777" w:rsidR="00890D38" w:rsidRPr="00DA5C88" w:rsidRDefault="00890D38" w:rsidP="001B4980">
      <w:pPr>
        <w:spacing w:before="60" w:afterLines="40" w:after="96"/>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 xml:space="preserve">Bên cạnh đó, việc địa phương tự đặt mức thu, quy trình thu và phạm vi đối tượng khác nhau cũng khiến chính sách thiếu nhất quán giữa các địa bàn có cảng biển, tạo nên sự phân mảnh thể chế trong quản lý logistics </w:t>
      </w:r>
      <w:r>
        <w:rPr>
          <w:rFonts w:ascii="Times New Roman" w:eastAsia="Times New Roman" w:hAnsi="Times New Roman" w:cs="Times New Roman"/>
          <w:sz w:val="26"/>
          <w:szCs w:val="26"/>
          <w:lang w:val="en-US"/>
        </w:rPr>
        <w:t>-</w:t>
      </w:r>
      <w:r w:rsidRPr="00DA5C88">
        <w:rPr>
          <w:rFonts w:ascii="Times New Roman" w:eastAsia="Times New Roman" w:hAnsi="Times New Roman" w:cs="Times New Roman"/>
          <w:sz w:val="26"/>
          <w:szCs w:val="26"/>
          <w:lang w:val="vi-VN"/>
        </w:rPr>
        <w:t xml:space="preserve"> một yếu tố đi ngược với mục tiêu thống nhất quản lý nhà nước về hạ tầng cảng biển quốc gia.</w:t>
      </w:r>
    </w:p>
    <w:p w14:paraId="7EB65BEB" w14:textId="77777777" w:rsidR="00890D38" w:rsidRPr="00DA5C88" w:rsidRDefault="00890D38" w:rsidP="001B4980">
      <w:pPr>
        <w:pStyle w:val="Heading4"/>
        <w:spacing w:before="60" w:afterLines="40" w:after="96"/>
        <w:ind w:firstLine="709"/>
        <w:jc w:val="both"/>
        <w:rPr>
          <w:rFonts w:ascii="Times New Roman" w:eastAsia="Times New Roman" w:hAnsi="Times New Roman" w:cs="Times New Roman"/>
          <w:b/>
          <w:i/>
          <w:iCs/>
          <w:color w:val="000000"/>
          <w:sz w:val="26"/>
          <w:szCs w:val="26"/>
          <w:lang w:val="vi-VN"/>
        </w:rPr>
      </w:pPr>
      <w:r w:rsidRPr="00DA5C88">
        <w:rPr>
          <w:rFonts w:ascii="Times New Roman" w:eastAsia="Times New Roman" w:hAnsi="Times New Roman" w:cs="Times New Roman"/>
          <w:b/>
          <w:i/>
          <w:iCs/>
          <w:color w:val="000000"/>
          <w:sz w:val="26"/>
          <w:szCs w:val="26"/>
          <w:lang w:val="vi-VN"/>
        </w:rPr>
        <w:t>1.2.2. Không phù hợp với đặc thù vận tải khu vực và định hướng phát triển                            logistics xanh</w:t>
      </w:r>
    </w:p>
    <w:p w14:paraId="34F14F57" w14:textId="2881CAAB" w:rsidR="00890D38" w:rsidRPr="00702D31" w:rsidRDefault="00890D38" w:rsidP="001B4980">
      <w:pPr>
        <w:spacing w:before="60" w:afterLines="40" w:after="96"/>
        <w:ind w:firstLine="709"/>
        <w:jc w:val="both"/>
        <w:rPr>
          <w:rFonts w:ascii="Times New Roman" w:eastAsia="Times New Roman" w:hAnsi="Times New Roman" w:cs="Times New Roman"/>
          <w:spacing w:val="-4"/>
          <w:sz w:val="26"/>
          <w:szCs w:val="26"/>
          <w:lang w:val="vi-VN"/>
        </w:rPr>
      </w:pPr>
      <w:r w:rsidRPr="00702D31">
        <w:rPr>
          <w:rFonts w:ascii="Times New Roman" w:eastAsia="Times New Roman" w:hAnsi="Times New Roman" w:cs="Times New Roman"/>
          <w:spacing w:val="-4"/>
          <w:sz w:val="26"/>
          <w:szCs w:val="26"/>
          <w:lang w:val="vi-VN"/>
        </w:rPr>
        <w:t xml:space="preserve">Tại khu vực Cái Mép </w:t>
      </w:r>
      <w:r w:rsidRPr="00702D31">
        <w:rPr>
          <w:rFonts w:ascii="Times New Roman" w:eastAsia="Times New Roman" w:hAnsi="Times New Roman" w:cs="Times New Roman"/>
          <w:spacing w:val="-4"/>
          <w:sz w:val="26"/>
          <w:szCs w:val="26"/>
          <w:lang w:val="en-US"/>
        </w:rPr>
        <w:t>-</w:t>
      </w:r>
      <w:r w:rsidRPr="00702D31">
        <w:rPr>
          <w:rFonts w:ascii="Times New Roman" w:eastAsia="Times New Roman" w:hAnsi="Times New Roman" w:cs="Times New Roman"/>
          <w:spacing w:val="-4"/>
          <w:sz w:val="26"/>
          <w:szCs w:val="26"/>
          <w:lang w:val="vi-VN"/>
        </w:rPr>
        <w:t xml:space="preserve"> Thị Vải, nơi tập trung hệ thống cảng nước sâu lớn nhất cả nước, khoảng 90% lượng hàng hóa được vận chuyển bằng sà lan thông qua hệ thống đường thủy nội địa, nhờ có luồng tuyến thuận lợi và chi phí tối ưu hơn nhiều so với vận tải đường bộ. Các lô hàng này hầu như không sử dụng kết cấu hạ tầng giao thông đường bộ của TP. Hồ Chí Minh, là đối tượng mà chính sách thu phí hạ tầng cảng biển hướng tới.</w:t>
      </w:r>
    </w:p>
    <w:p w14:paraId="287D97F2" w14:textId="655C7F05" w:rsidR="00890D38" w:rsidRPr="00702D31" w:rsidRDefault="00890D38" w:rsidP="001B4980">
      <w:pPr>
        <w:spacing w:before="60" w:afterLines="40" w:after="96"/>
        <w:ind w:firstLine="709"/>
        <w:jc w:val="both"/>
        <w:rPr>
          <w:rFonts w:ascii="Times New Roman" w:eastAsia="Times New Roman" w:hAnsi="Times New Roman" w:cs="Times New Roman"/>
          <w:spacing w:val="-2"/>
          <w:sz w:val="26"/>
          <w:szCs w:val="26"/>
          <w:lang w:val="vi-VN"/>
        </w:rPr>
      </w:pPr>
      <w:r w:rsidRPr="00702D31">
        <w:rPr>
          <w:rFonts w:ascii="Times New Roman" w:eastAsia="Times New Roman" w:hAnsi="Times New Roman" w:cs="Times New Roman"/>
          <w:spacing w:val="-2"/>
          <w:sz w:val="26"/>
          <w:szCs w:val="26"/>
          <w:lang w:val="vi-VN"/>
        </w:rPr>
        <w:t xml:space="preserve">Tuy nhiên, theo quy định hiện hành, hàng hóa tạm nhập tái xuất, tạm xuất tái nhập, quá cảnh, gửi kho ngoại quan, chuyển khẩu vận chuyển vào cảng bằng đường thủy nội địa vẫn phải nộp mức phí tương tự như doanh nghiệp sử dụng phương tiện đường bộ, dù không khai thác, sử dụng hạ tầng giao thông của Thành phố. Điều này tạo ra gánh nặng chi phí không cần thiết, làm tăng tổng chi phí logistics và giảm lợi thế cạnh tranh của phương thức vận tải thủy nội địa </w:t>
      </w:r>
      <w:r w:rsidRPr="00702D31">
        <w:rPr>
          <w:rFonts w:ascii="Times New Roman" w:eastAsia="Times New Roman" w:hAnsi="Times New Roman" w:cs="Times New Roman"/>
          <w:spacing w:val="-2"/>
          <w:sz w:val="26"/>
          <w:szCs w:val="26"/>
          <w:lang w:val="en-US"/>
        </w:rPr>
        <w:t>-</w:t>
      </w:r>
      <w:r w:rsidRPr="00702D31">
        <w:rPr>
          <w:rFonts w:ascii="Times New Roman" w:eastAsia="Times New Roman" w:hAnsi="Times New Roman" w:cs="Times New Roman"/>
          <w:spacing w:val="-2"/>
          <w:sz w:val="26"/>
          <w:szCs w:val="26"/>
          <w:lang w:val="vi-VN"/>
        </w:rPr>
        <w:t xml:space="preserve"> vốn đang được Chính phủ khuyến khích phát triển.</w:t>
      </w:r>
    </w:p>
    <w:p w14:paraId="753AE27F" w14:textId="77777777" w:rsidR="00890D38" w:rsidRPr="00DA5C88" w:rsidRDefault="00890D38" w:rsidP="001B4980">
      <w:pPr>
        <w:spacing w:before="60" w:afterLines="40" w:after="96"/>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Chính sách thu phí hạ tầng cảng biển chưa phù hợp với định hướng phát triển logistics xanh và bền vững của Việt Nam, khi mà vận tải thủy được xem là phương thức ít phát thải nhất trong các loại hình vận tải hàng hóa. Việc duy trì thu phí theo cơ chế hiện nay đi ngược lại mục tiêu khuyến khích chuyển dịch hàng hóa từ đường bộ sang đường thủy, cũng như cam kết giảm phát thải khí nhà kính và tiến tới trung hòa carbon vào năm 2050 mà Chính phủ Việt Nam đã cam kết tại Hội nghị COP26.</w:t>
      </w:r>
    </w:p>
    <w:p w14:paraId="6F101C31" w14:textId="77777777" w:rsidR="00890D38" w:rsidRPr="00DA5C88" w:rsidRDefault="00890D38" w:rsidP="001B4980">
      <w:pPr>
        <w:spacing w:before="60" w:afterLines="40" w:after="96"/>
        <w:ind w:firstLine="709"/>
        <w:jc w:val="both"/>
        <w:rPr>
          <w:rFonts w:ascii="Times New Roman" w:eastAsia="Times New Roman" w:hAnsi="Times New Roman" w:cs="Times New Roman"/>
          <w:b/>
          <w:bCs/>
          <w:i/>
          <w:iCs/>
          <w:sz w:val="26"/>
          <w:szCs w:val="26"/>
          <w:lang w:val="vi-VN"/>
        </w:rPr>
      </w:pPr>
      <w:r w:rsidRPr="00DA5C88">
        <w:rPr>
          <w:rFonts w:ascii="Times New Roman" w:eastAsia="Times New Roman" w:hAnsi="Times New Roman" w:cs="Times New Roman"/>
          <w:b/>
          <w:bCs/>
          <w:i/>
          <w:iCs/>
          <w:sz w:val="26"/>
          <w:szCs w:val="26"/>
          <w:lang w:val="vi-VN"/>
        </w:rPr>
        <w:t xml:space="preserve">1.2.3. </w:t>
      </w:r>
      <w:r w:rsidRPr="00DA5C88">
        <w:rPr>
          <w:rFonts w:ascii="Times New Roman" w:eastAsia="Times New Roman" w:hAnsi="Times New Roman" w:cs="Times New Roman"/>
          <w:b/>
          <w:bCs/>
          <w:i/>
          <w:iCs/>
          <w:color w:val="000000"/>
          <w:sz w:val="26"/>
          <w:szCs w:val="26"/>
          <w:lang w:val="vi-VN"/>
        </w:rPr>
        <w:t>Gây mất cân bằng cạnh tranh và làm giảm sức hấp dẫn đầu tư vùng</w:t>
      </w:r>
    </w:p>
    <w:p w14:paraId="58167FF5" w14:textId="77777777" w:rsidR="00890D38" w:rsidRPr="00DA5C88" w:rsidRDefault="00890D38" w:rsidP="001B4980">
      <w:pPr>
        <w:spacing w:before="60" w:afterLines="40" w:after="96"/>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 xml:space="preserve">Sau khi sáp nhập, theo Dự thảo Đề án Thu phí sử dụng công trình kết cấu hạ tầng, công trình dịch vụ, tiện ích công cộng trong khu vực cửa khẩu cảng biển trên địa bàn Thành phố Hồ Chí Minh, các tỉnh như Bình Dương và Bà Rịa </w:t>
      </w:r>
      <w:r>
        <w:rPr>
          <w:rFonts w:ascii="Times New Roman" w:eastAsia="Times New Roman" w:hAnsi="Times New Roman" w:cs="Times New Roman"/>
          <w:sz w:val="26"/>
          <w:szCs w:val="26"/>
          <w:lang w:val="en-US"/>
        </w:rPr>
        <w:t>-</w:t>
      </w:r>
      <w:r w:rsidRPr="00DA5C88">
        <w:rPr>
          <w:rFonts w:ascii="Times New Roman" w:eastAsia="Times New Roman" w:hAnsi="Times New Roman" w:cs="Times New Roman"/>
          <w:sz w:val="26"/>
          <w:szCs w:val="26"/>
          <w:lang w:val="vi-VN"/>
        </w:rPr>
        <w:t xml:space="preserve"> Vũng Tàu sẽ phải chịu mức phí áp dụng tương tự TP. Hồ Chí Minh trước đây. Điều này đã tạo ra lợi thế cho hệ thống cảng </w:t>
      </w:r>
      <w:r>
        <w:rPr>
          <w:rFonts w:ascii="Times New Roman" w:eastAsia="Times New Roman" w:hAnsi="Times New Roman" w:cs="Times New Roman"/>
          <w:sz w:val="26"/>
          <w:szCs w:val="26"/>
          <w:lang w:val="en-US"/>
        </w:rPr>
        <w:t>-</w:t>
      </w:r>
      <w:r w:rsidRPr="00DA5C88">
        <w:rPr>
          <w:rFonts w:ascii="Times New Roman" w:eastAsia="Times New Roman" w:hAnsi="Times New Roman" w:cs="Times New Roman"/>
          <w:sz w:val="26"/>
          <w:szCs w:val="26"/>
          <w:lang w:val="vi-VN"/>
        </w:rPr>
        <w:t xml:space="preserve"> logistics tỉnh Đồng Nai và các khu vực ngoài TP. Hồ Chí Minh khi các tỉnh thành này không bị áp phí, trong khi lại làm giảm năng lực cạnh tranh của khu vực TP. Hồ Chí Minh, tạo ra sự chênh lệch không đáng có về mặt chi phí và cơ hội phát triển. </w:t>
      </w:r>
    </w:p>
    <w:p w14:paraId="7237B317" w14:textId="77777777" w:rsidR="00890D38" w:rsidRPr="00DA5C88" w:rsidRDefault="00890D38" w:rsidP="001B4980">
      <w:pPr>
        <w:spacing w:before="60" w:afterLines="40" w:after="96"/>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Thực tế cho thấy, nhiều doanh nghiệp xuất nhập khẩu và hãng tàu đã bắt đầu điều chỉnh hành trình hoặc chuyển dịch hàng hóa ra ngoài khu vực TP. Hồ Chí Minh nhằm tiết giảm chi phí. Xu hướng này không chỉ khiến sản lượng container qua các cảng, depot và ICD trong Thành phố suy giảm, mà còn ảnh hưởng trực tiếp đến nguồn thu ngân sách địa phương, cũng như vai trò trung tâm logistics của TP. Hồ Chí Minh trong vùng kinh tế trọng điểm phía Nam.</w:t>
      </w:r>
    </w:p>
    <w:p w14:paraId="5DDE786F" w14:textId="77777777" w:rsidR="00890D38" w:rsidRDefault="00890D38" w:rsidP="001B4980">
      <w:pPr>
        <w:spacing w:before="60" w:afterLines="40" w:after="96"/>
        <w:ind w:firstLine="709"/>
        <w:jc w:val="both"/>
        <w:rPr>
          <w:rFonts w:ascii="Times New Roman" w:eastAsia="Times New Roman" w:hAnsi="Times New Roman" w:cs="Times New Roman"/>
          <w:sz w:val="26"/>
          <w:szCs w:val="26"/>
          <w:lang w:val="en-US"/>
        </w:rPr>
      </w:pPr>
      <w:r w:rsidRPr="00DA5C88">
        <w:rPr>
          <w:rFonts w:ascii="Times New Roman" w:eastAsia="Times New Roman" w:hAnsi="Times New Roman" w:cs="Times New Roman"/>
          <w:sz w:val="26"/>
          <w:szCs w:val="26"/>
          <w:lang w:val="vi-VN"/>
        </w:rPr>
        <w:lastRenderedPageBreak/>
        <w:t xml:space="preserve">Nếu xu hướng này kéo dài, TP. Hồ Chí Minh có nguy cơ đánh mất vị thế đầu mối trung chuyển hàng hóa lớn nhất cả nước, làm giảm khả năng thu hút đầu tư vào lĩnh vực hạ tầng logistics, vận tải và dịch vụ hỗ trợ thương mại </w:t>
      </w:r>
      <w:r>
        <w:rPr>
          <w:rFonts w:ascii="Times New Roman" w:eastAsia="Times New Roman" w:hAnsi="Times New Roman" w:cs="Times New Roman"/>
          <w:sz w:val="26"/>
          <w:szCs w:val="26"/>
          <w:lang w:val="en-US"/>
        </w:rPr>
        <w:t>-</w:t>
      </w:r>
      <w:r w:rsidRPr="00DA5C88">
        <w:rPr>
          <w:rFonts w:ascii="Times New Roman" w:eastAsia="Times New Roman" w:hAnsi="Times New Roman" w:cs="Times New Roman"/>
          <w:sz w:val="26"/>
          <w:szCs w:val="26"/>
          <w:lang w:val="vi-VN"/>
        </w:rPr>
        <w:t xml:space="preserve"> những ngành đóng vai trò then chốt trong chiến lược phát triển kinh tế vùng.</w:t>
      </w:r>
    </w:p>
    <w:p w14:paraId="4FD15CCA" w14:textId="77777777" w:rsidR="00890D38" w:rsidRPr="00E81B7B" w:rsidRDefault="00890D38" w:rsidP="001B4980">
      <w:pPr>
        <w:widowControl w:val="0"/>
        <w:spacing w:before="60" w:afterLines="40" w:after="96"/>
        <w:ind w:firstLine="709"/>
        <w:jc w:val="both"/>
        <w:rPr>
          <w:rFonts w:ascii="Times New Roman" w:eastAsia="Times New Roman" w:hAnsi="Times New Roman" w:cs="Times New Roman"/>
          <w:b/>
          <w:bCs/>
          <w:sz w:val="26"/>
          <w:szCs w:val="26"/>
          <w:lang w:val="vi-VN"/>
        </w:rPr>
      </w:pPr>
      <w:r w:rsidRPr="00E81B7B">
        <w:rPr>
          <w:rFonts w:ascii="Times New Roman" w:eastAsia="Times New Roman" w:hAnsi="Times New Roman" w:cs="Times New Roman"/>
          <w:b/>
          <w:bCs/>
          <w:sz w:val="26"/>
          <w:szCs w:val="26"/>
          <w:lang w:val="vi-VN"/>
        </w:rPr>
        <w:t>1.3. Một số kiến nghị và giải pháp của Hiệp hội</w:t>
      </w:r>
    </w:p>
    <w:p w14:paraId="2DE1A05A" w14:textId="77777777" w:rsidR="00890D38" w:rsidRPr="00DA5C88" w:rsidRDefault="00890D38" w:rsidP="001B4980">
      <w:pPr>
        <w:widowControl w:val="0"/>
        <w:spacing w:before="60" w:afterLines="40" w:after="96"/>
        <w:ind w:firstLine="709"/>
        <w:jc w:val="both"/>
        <w:rPr>
          <w:rFonts w:ascii="Times New Roman" w:eastAsia="Times New Roman" w:hAnsi="Times New Roman" w:cs="Times New Roman"/>
          <w:sz w:val="26"/>
          <w:szCs w:val="26"/>
          <w:lang w:val="vi-VN"/>
        </w:rPr>
      </w:pPr>
      <w:r w:rsidRPr="00DA5C88">
        <w:rPr>
          <w:rFonts w:ascii="Times New Roman" w:eastAsia="Times New Roman" w:hAnsi="Times New Roman" w:cs="Times New Roman"/>
          <w:sz w:val="26"/>
          <w:szCs w:val="26"/>
          <w:lang w:val="vi-VN"/>
        </w:rPr>
        <w:t>Từ các phân tích nêu trên, để đảm bảo chính sách thu phí hạ tầng cảng biển phát huy đúng mục tiêu “thu để đầu tư, đầu tư để phát triển”, đồng thời duy trì môi trường cạnh tranh bình đẳng và hỗ trợ doanh nghiệp trong giai đoạn phát triển kinh tế, Hiệp hội kiến nghị Thủ tướng Chính phủ chỉ đạo UBND TP. Hồ Chí Minh và các cơ quan liên quan nghiên cứu, điều chỉnh một số nội dun</w:t>
      </w:r>
      <w:r w:rsidRPr="00AC4B88">
        <w:rPr>
          <w:rFonts w:ascii="Times New Roman" w:eastAsia="Times New Roman" w:hAnsi="Times New Roman" w:cs="Times New Roman"/>
          <w:sz w:val="26"/>
          <w:szCs w:val="26"/>
          <w:lang w:val="vi-VN"/>
        </w:rPr>
        <w:t>g</w:t>
      </w:r>
      <w:r w:rsidRPr="00DA5C88">
        <w:rPr>
          <w:rFonts w:ascii="Times New Roman" w:eastAsia="Times New Roman" w:hAnsi="Times New Roman" w:cs="Times New Roman"/>
          <w:sz w:val="26"/>
          <w:szCs w:val="26"/>
          <w:lang w:val="vi-VN"/>
        </w:rPr>
        <w:t xml:space="preserve"> trọng tâm sau:</w:t>
      </w:r>
    </w:p>
    <w:p w14:paraId="43D176E9" w14:textId="6D3DF284" w:rsidR="00890D38" w:rsidRPr="001B4980" w:rsidRDefault="00890D38" w:rsidP="001B4980">
      <w:pPr>
        <w:widowControl w:val="0"/>
        <w:spacing w:before="60" w:afterLines="40" w:after="96"/>
        <w:ind w:firstLine="709"/>
        <w:jc w:val="both"/>
        <w:rPr>
          <w:rFonts w:ascii="Times New Roman" w:eastAsia="Times New Roman" w:hAnsi="Times New Roman" w:cs="Times New Roman"/>
          <w:spacing w:val="-4"/>
          <w:sz w:val="26"/>
          <w:szCs w:val="26"/>
          <w:lang w:val="vi-VN"/>
        </w:rPr>
      </w:pPr>
      <w:r w:rsidRPr="001B4980">
        <w:rPr>
          <w:rFonts w:ascii="Times New Roman" w:eastAsia="Times New Roman" w:hAnsi="Times New Roman" w:cs="Times New Roman"/>
          <w:i/>
          <w:iCs/>
          <w:spacing w:val="-4"/>
          <w:sz w:val="26"/>
          <w:szCs w:val="26"/>
          <w:lang w:val="vi-VN"/>
        </w:rPr>
        <w:t>- Thứ nhất,</w:t>
      </w:r>
      <w:r w:rsidRPr="001B4980">
        <w:rPr>
          <w:rFonts w:ascii="Times New Roman" w:eastAsia="Times New Roman" w:hAnsi="Times New Roman" w:cs="Times New Roman"/>
          <w:spacing w:val="-4"/>
          <w:sz w:val="26"/>
          <w:szCs w:val="26"/>
          <w:lang w:val="vi-VN"/>
        </w:rPr>
        <w:t xml:space="preserve"> Thành phố xem xét bỏ phí hạ tầng cảng biển để các doanh nghiệp xuất nhập khẩu không phải chịu chi phí sử dụng hạ tầng cao, đảm bảo cân bằng chi phí logistics giữa các khu vực nội thành và lân cận Thành phố. Giải pháp này cũng phù hợp với chủ trương “khoan sức dân” của Chính phủ, đảm bảo nguồn lực thu hút đầu tư không bị dịch chuyển ra khỏi khu vực TP. Hồ Chí Minh sau sáp nhập. Vì bản chất việc thu phí này chỉ làm tăng chi phí logistics, ảnh hưởng đến xuất nhập khẩu và môi trường kinh doanh cũng như không xứng đáng với tiềm năng của Thành phố siêu đô thị sau khi sáp nhập.   </w:t>
      </w:r>
    </w:p>
    <w:p w14:paraId="55CB96CB" w14:textId="77777777" w:rsidR="00890D38" w:rsidRPr="00DA5C88" w:rsidRDefault="00890D38" w:rsidP="001B4980">
      <w:pPr>
        <w:widowControl w:val="0"/>
        <w:spacing w:before="60" w:afterLines="40" w:after="96"/>
        <w:ind w:firstLine="709"/>
        <w:jc w:val="both"/>
        <w:rPr>
          <w:rFonts w:ascii="Times New Roman" w:eastAsia="Times New Roman" w:hAnsi="Times New Roman" w:cs="Times New Roman"/>
          <w:sz w:val="26"/>
          <w:szCs w:val="26"/>
          <w:lang w:val="vi-VN"/>
        </w:rPr>
      </w:pPr>
      <w:r w:rsidRPr="004172CC">
        <w:rPr>
          <w:rFonts w:ascii="Times New Roman" w:eastAsia="Times New Roman" w:hAnsi="Times New Roman" w:cs="Times New Roman"/>
          <w:i/>
          <w:iCs/>
          <w:sz w:val="26"/>
          <w:szCs w:val="26"/>
          <w:lang w:val="vi-VN"/>
        </w:rPr>
        <w:t>- Thứ hai</w:t>
      </w:r>
      <w:r w:rsidRPr="004172CC">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en-US"/>
        </w:rPr>
        <w:t xml:space="preserve">trường hợp vẫn duy trì thu phí trong một thời gian nhất định để bù đắp đầu tư hạ tầng thì </w:t>
      </w:r>
      <w:r w:rsidRPr="004172CC">
        <w:rPr>
          <w:rFonts w:ascii="Times New Roman" w:eastAsia="Times New Roman" w:hAnsi="Times New Roman" w:cs="Times New Roman"/>
          <w:sz w:val="26"/>
          <w:szCs w:val="26"/>
          <w:lang w:val="vi-VN"/>
        </w:rPr>
        <w:t>k</w:t>
      </w:r>
      <w:r w:rsidRPr="00DA5C88">
        <w:rPr>
          <w:rFonts w:ascii="Times New Roman" w:eastAsia="Times New Roman" w:hAnsi="Times New Roman" w:cs="Times New Roman"/>
          <w:sz w:val="26"/>
          <w:szCs w:val="26"/>
          <w:lang w:val="vi-VN"/>
        </w:rPr>
        <w:t xml:space="preserve">hông thu phí đối với những đối tượng không đúng theo quy định hoặc không sử dụng hạ tầng đường bộ, đảm bảo phù hợp với cam kết của Việt Nam với quốc tế và chiến lược phát triển ngành, tập trung phát triển phương thức vận tải xanh bằng đường thủy, hàng trung chuyển, quá cảnh, tạm nhập - tái xuất.  </w:t>
      </w:r>
    </w:p>
    <w:p w14:paraId="7E64D4E4" w14:textId="77777777" w:rsidR="00890D38" w:rsidRDefault="00890D38" w:rsidP="001B4980">
      <w:pPr>
        <w:widowControl w:val="0"/>
        <w:spacing w:before="60" w:afterLines="40" w:after="96"/>
        <w:ind w:firstLine="709"/>
        <w:jc w:val="both"/>
        <w:rPr>
          <w:rFonts w:ascii="Times New Roman" w:eastAsia="Times New Roman" w:hAnsi="Times New Roman" w:cs="Times New Roman"/>
          <w:sz w:val="26"/>
          <w:szCs w:val="26"/>
          <w:lang w:val="en-US"/>
        </w:rPr>
      </w:pPr>
      <w:r w:rsidRPr="004172CC">
        <w:rPr>
          <w:rFonts w:ascii="Times New Roman" w:eastAsia="Times New Roman" w:hAnsi="Times New Roman" w:cs="Times New Roman"/>
          <w:i/>
          <w:iCs/>
          <w:sz w:val="26"/>
          <w:szCs w:val="26"/>
          <w:lang w:val="vi-VN"/>
        </w:rPr>
        <w:t>- Thứ ba,</w:t>
      </w:r>
      <w:r w:rsidRPr="004172CC">
        <w:rPr>
          <w:rFonts w:ascii="Times New Roman" w:eastAsia="Times New Roman" w:hAnsi="Times New Roman" w:cs="Times New Roman"/>
          <w:sz w:val="26"/>
          <w:szCs w:val="26"/>
          <w:lang w:val="vi-VN"/>
        </w:rPr>
        <w:t xml:space="preserve"> </w:t>
      </w:r>
      <w:r w:rsidRPr="00DA5C88">
        <w:rPr>
          <w:rFonts w:ascii="Times New Roman" w:eastAsia="Times New Roman" w:hAnsi="Times New Roman" w:cs="Times New Roman"/>
          <w:sz w:val="26"/>
          <w:szCs w:val="26"/>
          <w:lang w:val="vi-VN"/>
        </w:rPr>
        <w:t xml:space="preserve">UBND TP. Hồ Chí Minh công khai định kỳ kế hoạch phân bổ, tiến độ giải ngân và danh mục các dự án đầu tư sử dụng nguồn thu phí hạ tầng cảng biển, bảo đảm nguồn phí được sử dụng đúng mục đích và mang lại hiệu quả thực chất cho hệ thống giao thông </w:t>
      </w:r>
      <w:r>
        <w:rPr>
          <w:rFonts w:ascii="Times New Roman" w:eastAsia="Times New Roman" w:hAnsi="Times New Roman" w:cs="Times New Roman"/>
          <w:sz w:val="26"/>
          <w:szCs w:val="26"/>
          <w:lang w:val="en-US"/>
        </w:rPr>
        <w:t>-</w:t>
      </w:r>
      <w:r w:rsidRPr="00DA5C88">
        <w:rPr>
          <w:rFonts w:ascii="Times New Roman" w:eastAsia="Times New Roman" w:hAnsi="Times New Roman" w:cs="Times New Roman"/>
          <w:sz w:val="26"/>
          <w:szCs w:val="26"/>
          <w:lang w:val="vi-VN"/>
        </w:rPr>
        <w:t xml:space="preserve"> cảng biển. Việc công khai này cần gắn với cơ chế giám sát độc lập của Hội đồng Nhân dân, các hiệp hội doanh nghiệp và cơ quan chuyên ngành, nhằm nâng cao tính minh bạch, tạo niềm tin cho cộng đồng doanh nghiệp và giúp chính sách thu </w:t>
      </w:r>
      <w:r>
        <w:rPr>
          <w:rFonts w:ascii="Times New Roman" w:eastAsia="Times New Roman" w:hAnsi="Times New Roman" w:cs="Times New Roman"/>
          <w:sz w:val="26"/>
          <w:szCs w:val="26"/>
          <w:lang w:val="en-US"/>
        </w:rPr>
        <w:t>-</w:t>
      </w:r>
      <w:r w:rsidRPr="00DA5C88">
        <w:rPr>
          <w:rFonts w:ascii="Times New Roman" w:eastAsia="Times New Roman" w:hAnsi="Times New Roman" w:cs="Times New Roman"/>
          <w:sz w:val="26"/>
          <w:szCs w:val="26"/>
          <w:lang w:val="vi-VN"/>
        </w:rPr>
        <w:t xml:space="preserve"> chi đạt được sự đồng thuận xã hội.</w:t>
      </w:r>
    </w:p>
    <w:p w14:paraId="7D482549" w14:textId="77777777" w:rsidR="00890D38" w:rsidRPr="003F2794" w:rsidRDefault="00890D38" w:rsidP="001B4980">
      <w:pPr>
        <w:widowControl w:val="0"/>
        <w:spacing w:before="60" w:afterLines="40" w:after="96"/>
        <w:ind w:firstLine="709"/>
        <w:jc w:val="both"/>
        <w:rPr>
          <w:rFonts w:ascii="Times New Roman" w:eastAsia="Times New Roman" w:hAnsi="Times New Roman" w:cs="Times New Roman"/>
          <w:b/>
          <w:bCs/>
          <w:sz w:val="26"/>
          <w:szCs w:val="26"/>
          <w:lang w:val="en-US"/>
        </w:rPr>
      </w:pPr>
      <w:r w:rsidRPr="003F2794">
        <w:rPr>
          <w:rFonts w:ascii="Times New Roman" w:eastAsia="Times New Roman" w:hAnsi="Times New Roman" w:cs="Times New Roman"/>
          <w:b/>
          <w:bCs/>
          <w:sz w:val="26"/>
          <w:szCs w:val="26"/>
          <w:lang w:val="en-US"/>
        </w:rPr>
        <w:t xml:space="preserve">2. Kiến nghị của Hiệp hội Gỗ và lâm sản Việt Nam </w:t>
      </w:r>
    </w:p>
    <w:p w14:paraId="53CB6877" w14:textId="77777777" w:rsidR="00890D38" w:rsidRPr="003F2794" w:rsidRDefault="00890D38" w:rsidP="001B4980">
      <w:pPr>
        <w:widowControl w:val="0"/>
        <w:spacing w:before="60" w:afterLines="40" w:after="96"/>
        <w:ind w:firstLine="709"/>
        <w:jc w:val="both"/>
        <w:rPr>
          <w:rFonts w:ascii="Times New Roman" w:eastAsia="Times New Roman" w:hAnsi="Times New Roman" w:cs="Times New Roman"/>
          <w:sz w:val="26"/>
          <w:szCs w:val="26"/>
          <w:lang w:val="vi-VN"/>
        </w:rPr>
      </w:pPr>
      <w:r w:rsidRPr="003F2794">
        <w:rPr>
          <w:rFonts w:ascii="Times New Roman" w:eastAsia="Times New Roman" w:hAnsi="Times New Roman" w:cs="Times New Roman"/>
          <w:sz w:val="26"/>
          <w:szCs w:val="26"/>
          <w:lang w:val="vi-VN"/>
        </w:rPr>
        <w:t>Hiệp hội Gỗ và Lâm sản Việt Nam đã nghiên cứu văn bản số 9386/SXD-TC và Dự thảo Đề án thu phí sử dụng công trình kết cấu hạ tầng, công trình dịch vụ, tiện ích công</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cộng trong khu vực cửa khẩu cảng biển trên địa bàn Thành phố Hồ Chí Minh và xin báo</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cáo tổng hợp ý kiến doanh nghiệp ngành gỗ và kiến nghị như sau:</w:t>
      </w:r>
    </w:p>
    <w:p w14:paraId="3D737C51" w14:textId="77777777" w:rsidR="00890D38" w:rsidRPr="00BB537F" w:rsidRDefault="00890D38" w:rsidP="001B4980">
      <w:pPr>
        <w:widowControl w:val="0"/>
        <w:spacing w:before="60" w:afterLines="40" w:after="96"/>
        <w:ind w:firstLine="709"/>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en-US"/>
        </w:rPr>
        <w:t xml:space="preserve">2.1. </w:t>
      </w:r>
      <w:r w:rsidRPr="00BB537F">
        <w:rPr>
          <w:rFonts w:ascii="Times New Roman" w:eastAsia="Times New Roman" w:hAnsi="Times New Roman" w:cs="Times New Roman"/>
          <w:b/>
          <w:bCs/>
          <w:sz w:val="26"/>
          <w:szCs w:val="26"/>
          <w:lang w:val="vi-VN"/>
        </w:rPr>
        <w:t xml:space="preserve">Tóm tắt tình hình chế biến </w:t>
      </w:r>
      <w:r w:rsidRPr="00BB537F">
        <w:rPr>
          <w:rFonts w:ascii="Times New Roman" w:eastAsia="Times New Roman" w:hAnsi="Times New Roman" w:cs="Times New Roman"/>
          <w:b/>
          <w:bCs/>
          <w:sz w:val="26"/>
          <w:szCs w:val="26"/>
          <w:lang w:val="en-US"/>
        </w:rPr>
        <w:t>-</w:t>
      </w:r>
      <w:r w:rsidRPr="00BB537F">
        <w:rPr>
          <w:rFonts w:ascii="Times New Roman" w:eastAsia="Times New Roman" w:hAnsi="Times New Roman" w:cs="Times New Roman"/>
          <w:b/>
          <w:bCs/>
          <w:sz w:val="26"/>
          <w:szCs w:val="26"/>
          <w:lang w:val="vi-VN"/>
        </w:rPr>
        <w:t xml:space="preserve"> xuất khẩu và sử dụng dịch vụ logistics của doanh</w:t>
      </w:r>
      <w:r w:rsidRPr="00BB537F">
        <w:rPr>
          <w:rFonts w:ascii="Times New Roman" w:eastAsia="Times New Roman" w:hAnsi="Times New Roman" w:cs="Times New Roman"/>
          <w:b/>
          <w:bCs/>
          <w:sz w:val="26"/>
          <w:szCs w:val="26"/>
          <w:lang w:val="en-US"/>
        </w:rPr>
        <w:t xml:space="preserve"> </w:t>
      </w:r>
      <w:r w:rsidRPr="00BB537F">
        <w:rPr>
          <w:rFonts w:ascii="Times New Roman" w:eastAsia="Times New Roman" w:hAnsi="Times New Roman" w:cs="Times New Roman"/>
          <w:b/>
          <w:bCs/>
          <w:sz w:val="26"/>
          <w:szCs w:val="26"/>
          <w:lang w:val="vi-VN"/>
        </w:rPr>
        <w:t>nghiệp gỗ</w:t>
      </w:r>
    </w:p>
    <w:p w14:paraId="1274F629" w14:textId="77777777" w:rsidR="00890D38" w:rsidRPr="003F2794" w:rsidRDefault="00890D38" w:rsidP="001B4980">
      <w:pPr>
        <w:widowControl w:val="0"/>
        <w:spacing w:before="60" w:afterLines="40" w:after="96"/>
        <w:ind w:firstLine="709"/>
        <w:jc w:val="both"/>
        <w:rPr>
          <w:rFonts w:ascii="Times New Roman" w:eastAsia="Times New Roman" w:hAnsi="Times New Roman" w:cs="Times New Roman"/>
          <w:i/>
          <w:iCs/>
          <w:sz w:val="26"/>
          <w:szCs w:val="26"/>
          <w:lang w:val="vi-VN"/>
        </w:rPr>
      </w:pPr>
      <w:r>
        <w:rPr>
          <w:rFonts w:ascii="Times New Roman" w:eastAsia="Times New Roman" w:hAnsi="Times New Roman" w:cs="Times New Roman"/>
          <w:i/>
          <w:iCs/>
          <w:sz w:val="26"/>
          <w:szCs w:val="26"/>
          <w:lang w:val="en-US"/>
        </w:rPr>
        <w:t>2</w:t>
      </w:r>
      <w:r w:rsidRPr="003F2794">
        <w:rPr>
          <w:rFonts w:ascii="Times New Roman" w:eastAsia="Times New Roman" w:hAnsi="Times New Roman" w:cs="Times New Roman"/>
          <w:i/>
          <w:iCs/>
          <w:sz w:val="26"/>
          <w:szCs w:val="26"/>
          <w:lang w:val="vi-VN"/>
        </w:rPr>
        <w:t>.1.</w:t>
      </w:r>
      <w:r>
        <w:rPr>
          <w:rFonts w:ascii="Times New Roman" w:eastAsia="Times New Roman" w:hAnsi="Times New Roman" w:cs="Times New Roman"/>
          <w:i/>
          <w:iCs/>
          <w:sz w:val="26"/>
          <w:szCs w:val="26"/>
          <w:lang w:val="en-US"/>
        </w:rPr>
        <w:t>1.</w:t>
      </w:r>
      <w:r w:rsidRPr="003F2794">
        <w:rPr>
          <w:rFonts w:ascii="Times New Roman" w:eastAsia="Times New Roman" w:hAnsi="Times New Roman" w:cs="Times New Roman"/>
          <w:i/>
          <w:iCs/>
          <w:sz w:val="26"/>
          <w:szCs w:val="26"/>
          <w:lang w:val="vi-VN"/>
        </w:rPr>
        <w:t xml:space="preserve"> Ngành gỗ là ngành xuất khẩu mũi nhọn, sử dụng hệ thống cảng TP.HCM với tần</w:t>
      </w:r>
      <w:r w:rsidRPr="003F2794">
        <w:rPr>
          <w:rFonts w:ascii="Times New Roman" w:eastAsia="Times New Roman" w:hAnsi="Times New Roman" w:cs="Times New Roman"/>
          <w:i/>
          <w:iCs/>
          <w:sz w:val="26"/>
          <w:szCs w:val="26"/>
          <w:lang w:val="en-US"/>
        </w:rPr>
        <w:t xml:space="preserve"> </w:t>
      </w:r>
      <w:r w:rsidRPr="003F2794">
        <w:rPr>
          <w:rFonts w:ascii="Times New Roman" w:eastAsia="Times New Roman" w:hAnsi="Times New Roman" w:cs="Times New Roman"/>
          <w:i/>
          <w:iCs/>
          <w:sz w:val="26"/>
          <w:szCs w:val="26"/>
          <w:lang w:val="vi-VN"/>
        </w:rPr>
        <w:t>suất rất cao</w:t>
      </w:r>
    </w:p>
    <w:p w14:paraId="2C14485B" w14:textId="77777777" w:rsidR="00890D38" w:rsidRPr="003F2794" w:rsidRDefault="00890D38" w:rsidP="001B4980">
      <w:pPr>
        <w:widowControl w:val="0"/>
        <w:spacing w:before="60" w:afterLines="40" w:after="96"/>
        <w:ind w:firstLine="709"/>
        <w:jc w:val="both"/>
        <w:rPr>
          <w:rFonts w:ascii="Times New Roman" w:eastAsia="Times New Roman" w:hAnsi="Times New Roman" w:cs="Times New Roman"/>
          <w:sz w:val="26"/>
          <w:szCs w:val="26"/>
          <w:lang w:val="vi-VN"/>
        </w:rPr>
      </w:pPr>
      <w:r w:rsidRPr="003F2794">
        <w:rPr>
          <w:rFonts w:ascii="Times New Roman" w:eastAsia="Times New Roman" w:hAnsi="Times New Roman" w:cs="Times New Roman"/>
          <w:sz w:val="26"/>
          <w:szCs w:val="26"/>
          <w:lang w:val="vi-VN"/>
        </w:rPr>
        <w:t xml:space="preserve">Ngành gỗ và lâm sản Việt Nam hiện xuất khẩu tới 164 thị trường, với kim ngạch </w:t>
      </w:r>
      <w:r w:rsidRPr="003F2794">
        <w:rPr>
          <w:rFonts w:ascii="Times New Roman" w:eastAsia="Times New Roman" w:hAnsi="Times New Roman" w:cs="Times New Roman"/>
          <w:sz w:val="26"/>
          <w:szCs w:val="26"/>
          <w:lang w:val="vi-VN"/>
        </w:rPr>
        <w:lastRenderedPageBreak/>
        <w:t>năm</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2024 đạt trên 17 tỷ USD, là một trong số nhóm ngành hàng xuất khẩu chủ lực của nước ta.</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Đặc thù sản phẩm gỗ là cồng kềnh, khối lượng lớn và sử dụng rất nhiều container vận</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tải biển, trong khi giá trị trên đơn vị khối lượng không cao. Do đó, chi phí logistics, bao</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gồm cả phí vận tải và phí cảng biển, chiếm tỷ trọng đáng kể trong giá thành xuất khẩu.</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Theo ước tính của Hiệp hội Gỗ và Lâm sản Việt nam, khoảng 1/2 tổng lượng</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container hàng gỗ xuất khẩu của cả nước hiện đang được thông quan qua các cảng khu vực</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 xml:space="preserve">TP.HCM và Cái Mép </w:t>
      </w:r>
      <w:r>
        <w:rPr>
          <w:rFonts w:ascii="Times New Roman" w:eastAsia="Times New Roman" w:hAnsi="Times New Roman" w:cs="Times New Roman"/>
          <w:sz w:val="26"/>
          <w:szCs w:val="26"/>
          <w:lang w:val="en-US"/>
        </w:rPr>
        <w:t>-</w:t>
      </w:r>
      <w:r w:rsidRPr="003F2794">
        <w:rPr>
          <w:rFonts w:ascii="Times New Roman" w:eastAsia="Times New Roman" w:hAnsi="Times New Roman" w:cs="Times New Roman"/>
          <w:sz w:val="26"/>
          <w:szCs w:val="26"/>
          <w:lang w:val="vi-VN"/>
        </w:rPr>
        <w:t xml:space="preserve"> Thị Vải. Vì vậy, việc áp dụng hoặc mở rộng thu phí hạ tầng cảng</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 xml:space="preserve">biển tại đây sẽ tác động trực tiếp và sâu rộng đến toàn bộ chuỗi sản xuất </w:t>
      </w:r>
      <w:r>
        <w:rPr>
          <w:rFonts w:ascii="Times New Roman" w:eastAsia="Times New Roman" w:hAnsi="Times New Roman" w:cs="Times New Roman"/>
          <w:sz w:val="26"/>
          <w:szCs w:val="26"/>
          <w:lang w:val="en-US"/>
        </w:rPr>
        <w:t>-</w:t>
      </w:r>
      <w:r w:rsidRPr="003F2794">
        <w:rPr>
          <w:rFonts w:ascii="Times New Roman" w:eastAsia="Times New Roman" w:hAnsi="Times New Roman" w:cs="Times New Roman"/>
          <w:sz w:val="26"/>
          <w:szCs w:val="26"/>
          <w:lang w:val="vi-VN"/>
        </w:rPr>
        <w:t xml:space="preserve"> xuất khẩu của</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ngành.</w:t>
      </w:r>
    </w:p>
    <w:p w14:paraId="21288D26" w14:textId="77777777" w:rsidR="00890D38" w:rsidRPr="003F2794" w:rsidRDefault="00890D38" w:rsidP="001B4980">
      <w:pPr>
        <w:widowControl w:val="0"/>
        <w:spacing w:before="60" w:afterLines="40" w:after="96"/>
        <w:ind w:firstLine="709"/>
        <w:jc w:val="both"/>
        <w:rPr>
          <w:rFonts w:ascii="Times New Roman" w:eastAsia="Times New Roman" w:hAnsi="Times New Roman" w:cs="Times New Roman"/>
          <w:i/>
          <w:iCs/>
          <w:sz w:val="26"/>
          <w:szCs w:val="26"/>
          <w:lang w:val="vi-VN"/>
        </w:rPr>
      </w:pPr>
      <w:r>
        <w:rPr>
          <w:rFonts w:ascii="Times New Roman" w:eastAsia="Times New Roman" w:hAnsi="Times New Roman" w:cs="Times New Roman"/>
          <w:i/>
          <w:iCs/>
          <w:sz w:val="26"/>
          <w:szCs w:val="26"/>
          <w:lang w:val="en-US"/>
        </w:rPr>
        <w:t>2.1</w:t>
      </w:r>
      <w:r w:rsidRPr="003F2794">
        <w:rPr>
          <w:rFonts w:ascii="Times New Roman" w:eastAsia="Times New Roman" w:hAnsi="Times New Roman" w:cs="Times New Roman"/>
          <w:i/>
          <w:iCs/>
          <w:sz w:val="26"/>
          <w:szCs w:val="26"/>
          <w:lang w:val="vi-VN"/>
        </w:rPr>
        <w:t>.2. Doanh nghiệp gỗ đang gặp khó khăn và thách thức rất nghiêm trọng do thuế Mỹ</w:t>
      </w:r>
      <w:r>
        <w:rPr>
          <w:rFonts w:ascii="Times New Roman" w:eastAsia="Times New Roman" w:hAnsi="Times New Roman" w:cs="Times New Roman"/>
          <w:i/>
          <w:iCs/>
          <w:sz w:val="26"/>
          <w:szCs w:val="26"/>
          <w:lang w:val="en-US"/>
        </w:rPr>
        <w:t xml:space="preserve"> </w:t>
      </w:r>
      <w:r w:rsidRPr="003F2794">
        <w:rPr>
          <w:rFonts w:ascii="Times New Roman" w:eastAsia="Times New Roman" w:hAnsi="Times New Roman" w:cs="Times New Roman"/>
          <w:i/>
          <w:iCs/>
          <w:sz w:val="26"/>
          <w:szCs w:val="26"/>
          <w:lang w:val="vi-VN"/>
        </w:rPr>
        <w:t>và cầu ở các thị trường khác giảm rất mạnh</w:t>
      </w:r>
    </w:p>
    <w:p w14:paraId="2BBBA639" w14:textId="77777777" w:rsidR="00890D38" w:rsidRPr="003F2794" w:rsidRDefault="00890D38" w:rsidP="001B4980">
      <w:pPr>
        <w:widowControl w:val="0"/>
        <w:spacing w:before="60" w:afterLines="40" w:after="96"/>
        <w:ind w:firstLine="709"/>
        <w:jc w:val="both"/>
        <w:rPr>
          <w:rFonts w:ascii="Times New Roman" w:eastAsia="Times New Roman" w:hAnsi="Times New Roman" w:cs="Times New Roman"/>
          <w:sz w:val="26"/>
          <w:szCs w:val="26"/>
          <w:lang w:val="vi-VN"/>
        </w:rPr>
      </w:pPr>
      <w:r w:rsidRPr="003F2794">
        <w:rPr>
          <w:rFonts w:ascii="Times New Roman" w:eastAsia="Times New Roman" w:hAnsi="Times New Roman" w:cs="Times New Roman"/>
          <w:sz w:val="26"/>
          <w:szCs w:val="26"/>
          <w:lang w:val="vi-VN"/>
        </w:rPr>
        <w:t>Hiện nay, doanh nghiệp gỗ Việt Nam đang chịu tác động nặng nề từ thuế 232, thuế</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chống bán phá giá và chống trợ cấp và các biện pháp phòng vệ thương mại của Hoa Kỳ,</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trong khi thị trường EU, Nhật Bản, Hàn Quốc và Trung Quốc và nhiều thị trường khác</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cũng suy giảm mạnh. Bên cạnh đó, chi phí vận tải quốc tế và nội địa đều tăng cao, đơn</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 xml:space="preserve">hàng giảm, dòng tiền thiếu hụt. Trong bối cảnh này, việc tiếp tục hoặc mở rộng thu phí </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hạ</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tầng cảng biển sẽ tăng thêm gánh nặng tài chính, khiến doanh nghiệp càng khó duy trì sản</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xuất và mất khả năng cạnh tranh trên thị trường toàn cầu.</w:t>
      </w:r>
    </w:p>
    <w:p w14:paraId="58E4B41E" w14:textId="77777777" w:rsidR="00890D38" w:rsidRPr="00E81B7B" w:rsidRDefault="00890D38" w:rsidP="001B4980">
      <w:pPr>
        <w:widowControl w:val="0"/>
        <w:spacing w:before="60" w:afterLines="40" w:after="96"/>
        <w:ind w:firstLine="709"/>
        <w:jc w:val="both"/>
        <w:rPr>
          <w:rFonts w:ascii="Times New Roman" w:eastAsia="Times New Roman" w:hAnsi="Times New Roman" w:cs="Times New Roman"/>
          <w:i/>
          <w:iCs/>
          <w:sz w:val="26"/>
          <w:szCs w:val="26"/>
          <w:lang w:val="vi-VN"/>
        </w:rPr>
      </w:pPr>
      <w:r>
        <w:rPr>
          <w:rFonts w:ascii="Times New Roman" w:eastAsia="Times New Roman" w:hAnsi="Times New Roman" w:cs="Times New Roman"/>
          <w:i/>
          <w:iCs/>
          <w:sz w:val="26"/>
          <w:szCs w:val="26"/>
          <w:lang w:val="en-US"/>
        </w:rPr>
        <w:t>2.1</w:t>
      </w:r>
      <w:r w:rsidRPr="00E81B7B">
        <w:rPr>
          <w:rFonts w:ascii="Times New Roman" w:eastAsia="Times New Roman" w:hAnsi="Times New Roman" w:cs="Times New Roman"/>
          <w:i/>
          <w:iCs/>
          <w:sz w:val="26"/>
          <w:szCs w:val="26"/>
          <w:lang w:val="vi-VN"/>
        </w:rPr>
        <w:t xml:space="preserve">.3. Hiệu quả sử dụng nguồn thu từ phí hạ tầng cảng biển chưa rõ ràngTại TP.HCM, </w:t>
      </w:r>
      <w:r>
        <w:rPr>
          <w:rFonts w:ascii="Times New Roman" w:eastAsia="Times New Roman" w:hAnsi="Times New Roman" w:cs="Times New Roman"/>
          <w:i/>
          <w:iCs/>
          <w:sz w:val="26"/>
          <w:szCs w:val="26"/>
          <w:lang w:val="en-US"/>
        </w:rPr>
        <w:t xml:space="preserve"> </w:t>
      </w:r>
      <w:r w:rsidRPr="00E81B7B">
        <w:rPr>
          <w:rFonts w:ascii="Times New Roman" w:eastAsia="Times New Roman" w:hAnsi="Times New Roman" w:cs="Times New Roman"/>
          <w:i/>
          <w:iCs/>
          <w:sz w:val="26"/>
          <w:szCs w:val="26"/>
          <w:lang w:val="vi-VN"/>
        </w:rPr>
        <w:t>việc thu phí hạ tầng cảng biển đã được triển khai trong vài năm qua.</w:t>
      </w:r>
    </w:p>
    <w:p w14:paraId="58DED3D0" w14:textId="77777777" w:rsidR="00890D38" w:rsidRPr="003F2794" w:rsidRDefault="00890D38" w:rsidP="001B4980">
      <w:pPr>
        <w:widowControl w:val="0"/>
        <w:spacing w:before="60" w:afterLines="40" w:after="96"/>
        <w:ind w:firstLine="709"/>
        <w:jc w:val="both"/>
        <w:rPr>
          <w:rFonts w:ascii="Times New Roman" w:eastAsia="Times New Roman" w:hAnsi="Times New Roman" w:cs="Times New Roman"/>
          <w:sz w:val="26"/>
          <w:szCs w:val="26"/>
          <w:lang w:val="vi-VN"/>
        </w:rPr>
      </w:pPr>
      <w:r w:rsidRPr="003F2794">
        <w:rPr>
          <w:rFonts w:ascii="Times New Roman" w:eastAsia="Times New Roman" w:hAnsi="Times New Roman" w:cs="Times New Roman"/>
          <w:sz w:val="26"/>
          <w:szCs w:val="26"/>
          <w:lang w:val="vi-VN"/>
        </w:rPr>
        <w:t xml:space="preserve">Tuy nhiên, qua theo dõi và phản ánh của doanh nghiệp, nguồn thu này chưa được giải </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ngân</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hoặc đầu tư trở lại để nâng cấp hạ tầng logistics, giảm ùn tắc hay hỗ trợ doanh nghiệp một</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cách rõ ràng và hiệu quả.</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Do đó, cộng đồng doanh nghiệp mong muốn đánh giá độc lập và minh bạch hiệu quả</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sử dụng nguồn phí này trước khi xem xét tiếp tục thu hoặc mở rộng phạm vi áp dụng.</w:t>
      </w:r>
    </w:p>
    <w:p w14:paraId="3CC8AC98" w14:textId="77777777" w:rsidR="00890D38" w:rsidRPr="00BB537F" w:rsidRDefault="00890D38" w:rsidP="001B4980">
      <w:pPr>
        <w:widowControl w:val="0"/>
        <w:spacing w:before="60" w:afterLines="40" w:after="96"/>
        <w:ind w:firstLine="709"/>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en-US"/>
        </w:rPr>
        <w:t>2.2</w:t>
      </w:r>
      <w:r w:rsidRPr="00BB537F">
        <w:rPr>
          <w:rFonts w:ascii="Times New Roman" w:eastAsia="Times New Roman" w:hAnsi="Times New Roman" w:cs="Times New Roman"/>
          <w:b/>
          <w:bCs/>
          <w:sz w:val="26"/>
          <w:szCs w:val="26"/>
          <w:lang w:val="vi-VN"/>
        </w:rPr>
        <w:t>. Kiến nghị</w:t>
      </w:r>
    </w:p>
    <w:p w14:paraId="799211D1" w14:textId="77777777" w:rsidR="00890D38" w:rsidRPr="00E81B7B" w:rsidRDefault="00890D38" w:rsidP="001B4980">
      <w:pPr>
        <w:widowControl w:val="0"/>
        <w:spacing w:before="60" w:afterLines="40" w:after="96"/>
        <w:ind w:firstLine="709"/>
        <w:jc w:val="both"/>
        <w:rPr>
          <w:rFonts w:ascii="Times New Roman" w:eastAsia="Times New Roman" w:hAnsi="Times New Roman" w:cs="Times New Roman"/>
          <w:sz w:val="26"/>
          <w:szCs w:val="26"/>
          <w:lang w:val="en-US"/>
        </w:rPr>
      </w:pPr>
      <w:r w:rsidRPr="003F2794">
        <w:rPr>
          <w:rFonts w:ascii="Times New Roman" w:eastAsia="Times New Roman" w:hAnsi="Times New Roman" w:cs="Times New Roman"/>
          <w:sz w:val="26"/>
          <w:szCs w:val="26"/>
          <w:lang w:val="vi-VN"/>
        </w:rPr>
        <w:t>Trên cơ sở các phân tích nêu trên, Hiệp hội Gỗ và Lâm sản Việt Nam trân trọng kiến</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nghị Ủy ban Nhân dân Thành phố Hồ Chí Minh:</w:t>
      </w:r>
      <w:r>
        <w:rPr>
          <w:rFonts w:ascii="Times New Roman" w:eastAsia="Times New Roman" w:hAnsi="Times New Roman" w:cs="Times New Roman"/>
          <w:sz w:val="26"/>
          <w:szCs w:val="26"/>
          <w:lang w:val="en-US"/>
        </w:rPr>
        <w:t xml:space="preserve"> </w:t>
      </w:r>
    </w:p>
    <w:p w14:paraId="73C26D84" w14:textId="77777777" w:rsidR="00890D38" w:rsidRPr="003F2794" w:rsidRDefault="00890D38" w:rsidP="001B4980">
      <w:pPr>
        <w:widowControl w:val="0"/>
        <w:spacing w:before="60" w:afterLines="40" w:after="96"/>
        <w:ind w:firstLine="709"/>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en-US"/>
        </w:rPr>
        <w:t>(i)</w:t>
      </w:r>
      <w:r w:rsidRPr="003F2794">
        <w:rPr>
          <w:rFonts w:ascii="Times New Roman" w:eastAsia="Times New Roman" w:hAnsi="Times New Roman" w:cs="Times New Roman"/>
          <w:sz w:val="26"/>
          <w:szCs w:val="26"/>
          <w:lang w:val="vi-VN"/>
        </w:rPr>
        <w:t xml:space="preserve"> Chưa mở rộng việc thu phí hạ tầng cảng biển sang các địa phương Bình Dương và</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 xml:space="preserve">Bà Rịa </w:t>
      </w:r>
      <w:r>
        <w:rPr>
          <w:rFonts w:ascii="Times New Roman" w:eastAsia="Times New Roman" w:hAnsi="Times New Roman" w:cs="Times New Roman"/>
          <w:sz w:val="26"/>
          <w:szCs w:val="26"/>
          <w:lang w:val="en-US"/>
        </w:rPr>
        <w:t>-</w:t>
      </w:r>
      <w:r w:rsidRPr="003F2794">
        <w:rPr>
          <w:rFonts w:ascii="Times New Roman" w:eastAsia="Times New Roman" w:hAnsi="Times New Roman" w:cs="Times New Roman"/>
          <w:sz w:val="26"/>
          <w:szCs w:val="26"/>
          <w:lang w:val="vi-VN"/>
        </w:rPr>
        <w:t xml:space="preserve"> Vũng Tàu sau sáp nhập;</w:t>
      </w:r>
    </w:p>
    <w:p w14:paraId="04F0650E" w14:textId="77777777" w:rsidR="00890D38" w:rsidRPr="003F2794" w:rsidRDefault="00890D38" w:rsidP="001B4980">
      <w:pPr>
        <w:widowControl w:val="0"/>
        <w:spacing w:before="60" w:afterLines="40" w:after="96"/>
        <w:ind w:firstLine="709"/>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en-US"/>
        </w:rPr>
        <w:t>(ii)</w:t>
      </w:r>
      <w:r w:rsidRPr="003F2794">
        <w:rPr>
          <w:rFonts w:ascii="Times New Roman" w:eastAsia="Times New Roman" w:hAnsi="Times New Roman" w:cs="Times New Roman"/>
          <w:sz w:val="26"/>
          <w:szCs w:val="26"/>
          <w:lang w:val="vi-VN"/>
        </w:rPr>
        <w:t xml:space="preserve"> Tạm ngưng việc thu phí hạ tầng cảng biển tại khu vực TP.HCM để chia sẻ và hỗ</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doanh nghiệp, trong đó có doanh nghiệp ngành gỗ, trong giai đoạn hết sức khó khăn hiện</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nay;</w:t>
      </w:r>
    </w:p>
    <w:p w14:paraId="1561868E" w14:textId="77777777" w:rsidR="00890D38" w:rsidRDefault="00890D38" w:rsidP="001B4980">
      <w:pPr>
        <w:widowControl w:val="0"/>
        <w:spacing w:before="60" w:afterLines="40" w:after="96"/>
        <w:ind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(iii)</w:t>
      </w:r>
      <w:r w:rsidRPr="003F2794">
        <w:rPr>
          <w:rFonts w:ascii="Times New Roman" w:eastAsia="Times New Roman" w:hAnsi="Times New Roman" w:cs="Times New Roman"/>
          <w:sz w:val="26"/>
          <w:szCs w:val="26"/>
          <w:lang w:val="vi-VN"/>
        </w:rPr>
        <w:t xml:space="preserve"> Tổ chức đánh giá tổng thể hiệu quả sử dụng nguồn thu phí hạ tầng cảng biển, đảm</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bảo tính minh bạch, hợp lý và mang lại lợi ích thực chất cho hoạt động logistics;</w:t>
      </w:r>
      <w:r>
        <w:rPr>
          <w:rFonts w:ascii="Times New Roman" w:eastAsia="Times New Roman" w:hAnsi="Times New Roman" w:cs="Times New Roman"/>
          <w:sz w:val="26"/>
          <w:szCs w:val="26"/>
          <w:lang w:val="en-US"/>
        </w:rPr>
        <w:t xml:space="preserve"> </w:t>
      </w:r>
    </w:p>
    <w:p w14:paraId="5973BF77" w14:textId="77777777" w:rsidR="00890D38" w:rsidRPr="00E81B7B" w:rsidRDefault="00890D38" w:rsidP="001B4980">
      <w:pPr>
        <w:widowControl w:val="0"/>
        <w:spacing w:before="60" w:afterLines="40" w:after="96"/>
        <w:ind w:firstLine="709"/>
        <w:jc w:val="both"/>
        <w:rPr>
          <w:rFonts w:ascii="Times New Roman" w:eastAsia="Times New Roman" w:hAnsi="Times New Roman" w:cs="Times New Roman"/>
          <w:sz w:val="26"/>
          <w:szCs w:val="26"/>
          <w:lang w:val="en-US"/>
        </w:rPr>
        <w:sectPr w:rsidR="00890D38" w:rsidRPr="00E81B7B" w:rsidSect="00890D38">
          <w:pgSz w:w="11909" w:h="16834" w:code="9"/>
          <w:pgMar w:top="1134" w:right="1134" w:bottom="1134" w:left="1701" w:header="720" w:footer="720" w:gutter="0"/>
          <w:cols w:space="720"/>
          <w:docGrid w:linePitch="299"/>
        </w:sectPr>
      </w:pPr>
      <w:r>
        <w:rPr>
          <w:rFonts w:ascii="Times New Roman" w:eastAsia="Times New Roman" w:hAnsi="Times New Roman" w:cs="Times New Roman"/>
          <w:sz w:val="26"/>
          <w:szCs w:val="26"/>
          <w:lang w:val="en-US"/>
        </w:rPr>
        <w:t>(iv)</w:t>
      </w:r>
      <w:r w:rsidRPr="003F2794">
        <w:rPr>
          <w:rFonts w:ascii="Times New Roman" w:eastAsia="Times New Roman" w:hAnsi="Times New Roman" w:cs="Times New Roman"/>
          <w:sz w:val="26"/>
          <w:szCs w:val="26"/>
          <w:lang w:val="vi-VN"/>
        </w:rPr>
        <w:t xml:space="preserve"> Thực hiện đối thoại chính sách với các hiệp hội ngành hàng xuất khẩu, trong đó có</w:t>
      </w:r>
      <w:r>
        <w:rPr>
          <w:rFonts w:ascii="Times New Roman" w:eastAsia="Times New Roman" w:hAnsi="Times New Roman" w:cs="Times New Roman"/>
          <w:sz w:val="26"/>
          <w:szCs w:val="26"/>
          <w:lang w:val="en-US"/>
        </w:rPr>
        <w:t xml:space="preserve"> </w:t>
      </w:r>
      <w:r w:rsidRPr="003F2794">
        <w:rPr>
          <w:rFonts w:ascii="Times New Roman" w:eastAsia="Times New Roman" w:hAnsi="Times New Roman" w:cs="Times New Roman"/>
          <w:sz w:val="26"/>
          <w:szCs w:val="26"/>
          <w:lang w:val="vi-VN"/>
        </w:rPr>
        <w:t xml:space="preserve">ngành gỗ, để xây dựng phương án điều chỉnh phù hợp với thực tế sản xuất </w:t>
      </w:r>
      <w:r>
        <w:rPr>
          <w:rFonts w:ascii="Times New Roman" w:eastAsia="Times New Roman" w:hAnsi="Times New Roman" w:cs="Times New Roman"/>
          <w:sz w:val="26"/>
          <w:szCs w:val="26"/>
          <w:lang w:val="en-US"/>
        </w:rPr>
        <w:t>-</w:t>
      </w:r>
      <w:r w:rsidRPr="003F2794">
        <w:rPr>
          <w:rFonts w:ascii="Times New Roman" w:eastAsia="Times New Roman" w:hAnsi="Times New Roman" w:cs="Times New Roman"/>
          <w:sz w:val="26"/>
          <w:szCs w:val="26"/>
          <w:lang w:val="vi-VN"/>
        </w:rPr>
        <w:t xml:space="preserve"> kinh doanh</w:t>
      </w:r>
      <w:r>
        <w:rPr>
          <w:rFonts w:ascii="Times New Roman" w:eastAsia="Times New Roman" w:hAnsi="Times New Roman" w:cs="Times New Roman"/>
          <w:sz w:val="26"/>
          <w:szCs w:val="26"/>
          <w:lang w:val="en-US"/>
        </w:rPr>
        <w:t>.</w:t>
      </w:r>
    </w:p>
    <w:p w14:paraId="15D6C292" w14:textId="1DA4D22F" w:rsidR="00A247F4" w:rsidRPr="004172CC" w:rsidRDefault="00A247F4" w:rsidP="00A247F4">
      <w:pPr>
        <w:jc w:val="center"/>
        <w:rPr>
          <w:rFonts w:ascii="Times New Roman" w:hAnsi="Times New Roman"/>
          <w:b/>
          <w:bCs/>
          <w:sz w:val="26"/>
          <w:szCs w:val="26"/>
          <w:lang w:val="vi-VN"/>
        </w:rPr>
      </w:pPr>
      <w:r w:rsidRPr="00DA5C88">
        <w:rPr>
          <w:rFonts w:ascii="Times New Roman" w:eastAsia="Times New Roman" w:hAnsi="Times New Roman" w:cs="Times New Roman"/>
          <w:b/>
          <w:sz w:val="26"/>
          <w:szCs w:val="26"/>
          <w:lang w:val="vi-VN"/>
        </w:rPr>
        <w:lastRenderedPageBreak/>
        <w:t xml:space="preserve">PHỤ LỤC </w:t>
      </w:r>
      <w:r w:rsidR="00DE7741" w:rsidRPr="004172CC">
        <w:rPr>
          <w:rFonts w:ascii="Times New Roman" w:eastAsia="Times New Roman" w:hAnsi="Times New Roman" w:cs="Times New Roman"/>
          <w:b/>
          <w:sz w:val="26"/>
          <w:szCs w:val="26"/>
          <w:lang w:val="vi-VN"/>
        </w:rPr>
        <w:t>4</w:t>
      </w:r>
      <w:r w:rsidRPr="00DA5C88">
        <w:rPr>
          <w:rFonts w:ascii="Times New Roman" w:eastAsia="Times New Roman" w:hAnsi="Times New Roman" w:cs="Times New Roman"/>
          <w:b/>
          <w:sz w:val="26"/>
          <w:szCs w:val="26"/>
          <w:lang w:val="vi-VN"/>
        </w:rPr>
        <w:t xml:space="preserve">. </w:t>
      </w:r>
      <w:r w:rsidRPr="00DA5C88">
        <w:rPr>
          <w:rFonts w:ascii="Times New Roman" w:hAnsi="Times New Roman"/>
          <w:b/>
          <w:bCs/>
          <w:sz w:val="26"/>
          <w:szCs w:val="26"/>
          <w:lang w:val="vi-VN"/>
        </w:rPr>
        <w:t xml:space="preserve">TỔNG HỢP Ý KIẾN CỦA CÁC HIỆP HỘI VỀ HIỆU QUẢ      THỰC THI NGHỊ QUYẾT 68 </w:t>
      </w:r>
      <w:r w:rsidR="00E65E4C">
        <w:rPr>
          <w:rFonts w:ascii="Times New Roman" w:hAnsi="Times New Roman"/>
          <w:b/>
          <w:bCs/>
          <w:sz w:val="26"/>
          <w:szCs w:val="26"/>
          <w:lang w:val="en-US"/>
        </w:rPr>
        <w:t>-</w:t>
      </w:r>
      <w:r w:rsidRPr="00DA5C88">
        <w:rPr>
          <w:rFonts w:ascii="Times New Roman" w:hAnsi="Times New Roman"/>
          <w:b/>
          <w:bCs/>
          <w:sz w:val="26"/>
          <w:szCs w:val="26"/>
          <w:lang w:val="vi-VN"/>
        </w:rPr>
        <w:t xml:space="preserve"> NQ/TW</w:t>
      </w:r>
    </w:p>
    <w:p w14:paraId="4813EF81" w14:textId="77777777" w:rsidR="00AA0E4A" w:rsidRPr="004172CC" w:rsidRDefault="00AA0E4A" w:rsidP="00A247F4">
      <w:pPr>
        <w:jc w:val="center"/>
        <w:rPr>
          <w:rFonts w:ascii="Times New Roman" w:eastAsia="Times New Roman" w:hAnsi="Times New Roman" w:cs="Times New Roman"/>
          <w:b/>
          <w:sz w:val="26"/>
          <w:szCs w:val="26"/>
          <w:lang w:val="vi-VN"/>
        </w:rPr>
      </w:pPr>
    </w:p>
    <w:tbl>
      <w:tblPr>
        <w:tblStyle w:val="TableGrid"/>
        <w:tblW w:w="9351" w:type="dxa"/>
        <w:tblLook w:val="04A0" w:firstRow="1" w:lastRow="0" w:firstColumn="1" w:lastColumn="0" w:noHBand="0" w:noVBand="1"/>
      </w:tblPr>
      <w:tblGrid>
        <w:gridCol w:w="2425"/>
        <w:gridCol w:w="6926"/>
      </w:tblGrid>
      <w:tr w:rsidR="00A247F4" w:rsidRPr="00DA5C88" w14:paraId="20690A96" w14:textId="77777777" w:rsidTr="00AA0E4A">
        <w:trPr>
          <w:trHeight w:val="420"/>
          <w:tblHeader/>
        </w:trPr>
        <w:tc>
          <w:tcPr>
            <w:tcW w:w="2425" w:type="dxa"/>
            <w:vAlign w:val="center"/>
          </w:tcPr>
          <w:p w14:paraId="6AF325D1" w14:textId="77777777" w:rsidR="00A247F4" w:rsidRPr="00DA5C88" w:rsidRDefault="00A247F4" w:rsidP="00C942DF">
            <w:pPr>
              <w:jc w:val="center"/>
              <w:rPr>
                <w:rFonts w:ascii="Times New Roman" w:hAnsi="Times New Roman"/>
                <w:b/>
                <w:bCs/>
                <w:sz w:val="26"/>
                <w:szCs w:val="26"/>
                <w:lang w:val="vi-VN"/>
              </w:rPr>
            </w:pPr>
            <w:r w:rsidRPr="00DA5C88">
              <w:rPr>
                <w:rFonts w:ascii="Times New Roman" w:hAnsi="Times New Roman"/>
                <w:b/>
                <w:bCs/>
                <w:sz w:val="26"/>
                <w:szCs w:val="26"/>
                <w:lang w:val="vi-VN"/>
              </w:rPr>
              <w:t>Hiệp hội</w:t>
            </w:r>
          </w:p>
        </w:tc>
        <w:tc>
          <w:tcPr>
            <w:tcW w:w="6926" w:type="dxa"/>
            <w:vAlign w:val="center"/>
          </w:tcPr>
          <w:p w14:paraId="0CFEA768" w14:textId="77777777" w:rsidR="00A247F4" w:rsidRPr="00DA5C88" w:rsidRDefault="00A247F4" w:rsidP="00C942DF">
            <w:pPr>
              <w:jc w:val="center"/>
              <w:rPr>
                <w:rFonts w:ascii="Times New Roman" w:hAnsi="Times New Roman"/>
                <w:b/>
                <w:bCs/>
                <w:sz w:val="26"/>
                <w:szCs w:val="26"/>
                <w:lang w:val="vi-VN"/>
              </w:rPr>
            </w:pPr>
            <w:r w:rsidRPr="00DA5C88">
              <w:rPr>
                <w:rFonts w:ascii="Times New Roman" w:hAnsi="Times New Roman"/>
                <w:b/>
                <w:bCs/>
                <w:sz w:val="26"/>
                <w:szCs w:val="26"/>
                <w:lang w:val="vi-VN"/>
              </w:rPr>
              <w:t>Ý kiến</w:t>
            </w:r>
          </w:p>
        </w:tc>
      </w:tr>
      <w:tr w:rsidR="00A247F4" w:rsidRPr="00DA5C88" w14:paraId="3848ED64" w14:textId="77777777" w:rsidTr="00AA0E4A">
        <w:trPr>
          <w:trHeight w:val="420"/>
        </w:trPr>
        <w:tc>
          <w:tcPr>
            <w:tcW w:w="2425" w:type="dxa"/>
            <w:vAlign w:val="center"/>
          </w:tcPr>
          <w:p w14:paraId="78C7F31B" w14:textId="77777777" w:rsidR="00A247F4" w:rsidRPr="00DA5C88" w:rsidRDefault="00A247F4" w:rsidP="00C942DF">
            <w:pPr>
              <w:spacing w:line="360" w:lineRule="auto"/>
              <w:jc w:val="center"/>
              <w:rPr>
                <w:rFonts w:ascii="Times New Roman" w:hAnsi="Times New Roman"/>
                <w:sz w:val="26"/>
                <w:szCs w:val="26"/>
                <w:lang w:val="vi-VN"/>
              </w:rPr>
            </w:pPr>
            <w:r w:rsidRPr="00DA5C88">
              <w:rPr>
                <w:rFonts w:ascii="Times New Roman" w:hAnsi="Times New Roman"/>
                <w:sz w:val="26"/>
                <w:szCs w:val="26"/>
                <w:lang w:val="vi-VN"/>
              </w:rPr>
              <w:t>Hiệp hội doanh nghiệp sản xuất Bắc Ninh</w:t>
            </w:r>
          </w:p>
        </w:tc>
        <w:tc>
          <w:tcPr>
            <w:tcW w:w="6926" w:type="dxa"/>
            <w:vAlign w:val="center"/>
          </w:tcPr>
          <w:p w14:paraId="29C6521D" w14:textId="77777777" w:rsidR="00A247F4" w:rsidRPr="00DA5C88" w:rsidRDefault="00A247F4" w:rsidP="00C942DF">
            <w:pPr>
              <w:spacing w:line="360" w:lineRule="auto"/>
              <w:jc w:val="both"/>
              <w:rPr>
                <w:rFonts w:ascii="Times New Roman" w:hAnsi="Times New Roman"/>
                <w:sz w:val="26"/>
                <w:szCs w:val="26"/>
                <w:lang w:val="vi-VN"/>
              </w:rPr>
            </w:pPr>
            <w:r w:rsidRPr="00DA5C88">
              <w:rPr>
                <w:rFonts w:ascii="Times New Roman" w:hAnsi="Times New Roman"/>
                <w:sz w:val="26"/>
                <w:szCs w:val="26"/>
                <w:lang w:val="vi-VN"/>
              </w:rPr>
              <w:t>Có rất nhiều sự thay đổi chính sách ở cấp độ TW và địa phương. Hiệp hội và doanh nghiệp nhận được rất nhiều sự hỗ trợ từ chính quyền; được tham gia các chương trình hỗ trợ hữu ích cho hoạt động sản xuất kinh doanh, xuất khẩu. Bên cạnh đó, Hiệp hội cũng đang tham gia góp ý nhiều chính sách cụ thể của NQ68.</w:t>
            </w:r>
          </w:p>
        </w:tc>
      </w:tr>
      <w:tr w:rsidR="00A247F4" w:rsidRPr="00DA5C88" w14:paraId="644680EC" w14:textId="77777777" w:rsidTr="00AA0E4A">
        <w:trPr>
          <w:trHeight w:val="420"/>
        </w:trPr>
        <w:tc>
          <w:tcPr>
            <w:tcW w:w="2425" w:type="dxa"/>
            <w:vAlign w:val="center"/>
          </w:tcPr>
          <w:p w14:paraId="5B61B819" w14:textId="77777777" w:rsidR="00AA0E4A" w:rsidRPr="004172CC" w:rsidRDefault="00A247F4" w:rsidP="00C942DF">
            <w:pPr>
              <w:spacing w:line="360" w:lineRule="auto"/>
              <w:jc w:val="center"/>
              <w:rPr>
                <w:rFonts w:ascii="Times New Roman" w:hAnsi="Times New Roman"/>
                <w:sz w:val="26"/>
                <w:szCs w:val="26"/>
                <w:lang w:val="vi"/>
              </w:rPr>
            </w:pPr>
            <w:r w:rsidRPr="00DA5C88">
              <w:rPr>
                <w:rFonts w:ascii="Times New Roman" w:hAnsi="Times New Roman"/>
                <w:sz w:val="26"/>
                <w:szCs w:val="26"/>
                <w:lang w:val="vi-VN"/>
              </w:rPr>
              <w:t xml:space="preserve">Hiệp hội doanh nghiệp chủ lực </w:t>
            </w:r>
          </w:p>
          <w:p w14:paraId="60C7DA69" w14:textId="3FD7F869" w:rsidR="00A247F4" w:rsidRPr="00DA5C88" w:rsidRDefault="00A247F4" w:rsidP="00C942DF">
            <w:pPr>
              <w:spacing w:line="360" w:lineRule="auto"/>
              <w:jc w:val="center"/>
              <w:rPr>
                <w:rFonts w:ascii="Times New Roman" w:hAnsi="Times New Roman"/>
                <w:sz w:val="26"/>
                <w:szCs w:val="26"/>
                <w:lang w:val="vi-VN"/>
              </w:rPr>
            </w:pPr>
            <w:r w:rsidRPr="00DA5C88">
              <w:rPr>
                <w:rFonts w:ascii="Times New Roman" w:hAnsi="Times New Roman"/>
                <w:sz w:val="26"/>
                <w:szCs w:val="26"/>
                <w:lang w:val="vi-VN"/>
              </w:rPr>
              <w:t>Hà Nội</w:t>
            </w:r>
          </w:p>
        </w:tc>
        <w:tc>
          <w:tcPr>
            <w:tcW w:w="6926" w:type="dxa"/>
            <w:vAlign w:val="center"/>
          </w:tcPr>
          <w:p w14:paraId="6E12DA1D" w14:textId="48B6FC10" w:rsidR="00A247F4" w:rsidRPr="00DA5C88" w:rsidRDefault="00A247F4" w:rsidP="00C942DF">
            <w:pPr>
              <w:spacing w:line="360" w:lineRule="auto"/>
              <w:jc w:val="both"/>
              <w:rPr>
                <w:rFonts w:ascii="Times New Roman" w:hAnsi="Times New Roman"/>
                <w:sz w:val="26"/>
                <w:szCs w:val="26"/>
                <w:lang w:val="vi-VN"/>
              </w:rPr>
            </w:pPr>
            <w:r w:rsidRPr="00DA5C88">
              <w:rPr>
                <w:rFonts w:ascii="Times New Roman" w:hAnsi="Times New Roman"/>
                <w:sz w:val="26"/>
                <w:szCs w:val="26"/>
                <w:lang w:val="vi-VN"/>
              </w:rPr>
              <w:t>Các hoạt động lớn như các diễn đàn; các hội thảo lấy ý kiến để thể chế hóa Nghị quyết 68 đã đem lại nhiều niềm tin cho doanh nghiệp và hiệp hội. Tuy nhiên</w:t>
            </w:r>
            <w:r w:rsidR="00E65E4C">
              <w:rPr>
                <w:rFonts w:ascii="Times New Roman" w:hAnsi="Times New Roman"/>
                <w:sz w:val="26"/>
                <w:szCs w:val="26"/>
                <w:lang w:val="en-US"/>
              </w:rPr>
              <w:t>, vẫn</w:t>
            </w:r>
            <w:r w:rsidRPr="00DA5C88">
              <w:rPr>
                <w:rFonts w:ascii="Times New Roman" w:hAnsi="Times New Roman"/>
                <w:sz w:val="26"/>
                <w:szCs w:val="26"/>
                <w:lang w:val="vi-VN"/>
              </w:rPr>
              <w:t xml:space="preserve"> cần hỗ trợ doanh nghiệp một cách hiệu quả hơn.</w:t>
            </w:r>
          </w:p>
        </w:tc>
      </w:tr>
      <w:tr w:rsidR="00FF7642" w:rsidRPr="00DA5C88" w14:paraId="113E0531" w14:textId="77777777" w:rsidTr="00AA0E4A">
        <w:trPr>
          <w:trHeight w:val="2016"/>
        </w:trPr>
        <w:tc>
          <w:tcPr>
            <w:tcW w:w="2425" w:type="dxa"/>
            <w:vAlign w:val="center"/>
          </w:tcPr>
          <w:p w14:paraId="08E49F81" w14:textId="77777777" w:rsidR="00FF7642" w:rsidRPr="00DA5C88" w:rsidRDefault="00FF7642" w:rsidP="00FF7642">
            <w:pPr>
              <w:spacing w:line="360" w:lineRule="auto"/>
              <w:ind w:left="-109"/>
              <w:jc w:val="center"/>
              <w:rPr>
                <w:rFonts w:ascii="Times New Roman" w:hAnsi="Times New Roman"/>
                <w:sz w:val="26"/>
                <w:szCs w:val="26"/>
                <w:lang w:val="vi-VN"/>
              </w:rPr>
            </w:pPr>
          </w:p>
          <w:p w14:paraId="631C4C24" w14:textId="45C7D3BB" w:rsidR="00FF7642" w:rsidRPr="00DA5C88" w:rsidRDefault="00FF7642" w:rsidP="00FF7642">
            <w:pPr>
              <w:spacing w:line="360" w:lineRule="auto"/>
              <w:ind w:left="-109"/>
              <w:jc w:val="center"/>
              <w:rPr>
                <w:rFonts w:ascii="Times New Roman" w:hAnsi="Times New Roman"/>
                <w:sz w:val="26"/>
                <w:szCs w:val="26"/>
                <w:lang w:val="vi-VN"/>
              </w:rPr>
            </w:pPr>
            <w:r w:rsidRPr="00DA5C88">
              <w:rPr>
                <w:rFonts w:ascii="Times New Roman" w:hAnsi="Times New Roman"/>
                <w:sz w:val="26"/>
                <w:szCs w:val="26"/>
                <w:lang w:val="vi-VN"/>
              </w:rPr>
              <w:t>Hiệp hội Thép Việt Nam (VSA)</w:t>
            </w:r>
          </w:p>
        </w:tc>
        <w:tc>
          <w:tcPr>
            <w:tcW w:w="6926" w:type="dxa"/>
            <w:vAlign w:val="center"/>
          </w:tcPr>
          <w:p w14:paraId="1E128BCC" w14:textId="77777777" w:rsidR="00FF7642" w:rsidRPr="00DA5C88" w:rsidRDefault="00FF7642" w:rsidP="00FF7642">
            <w:pPr>
              <w:spacing w:line="360" w:lineRule="auto"/>
              <w:jc w:val="both"/>
              <w:rPr>
                <w:rFonts w:ascii="Times New Roman" w:hAnsi="Times New Roman"/>
                <w:sz w:val="26"/>
                <w:szCs w:val="26"/>
                <w:lang w:val="vi-VN"/>
              </w:rPr>
            </w:pPr>
            <w:r w:rsidRPr="00DA5C88">
              <w:rPr>
                <w:rFonts w:ascii="Times New Roman" w:hAnsi="Times New Roman"/>
                <w:sz w:val="26"/>
                <w:szCs w:val="26"/>
                <w:lang w:val="vi-VN"/>
              </w:rPr>
              <w:t>Cộng đồng doanh nghiệp ngành thép đón nhận tích cực Nghị quyết 68 nhưng phản ánh thiếu các chính sách cụ thể để triển khai. Việc cấp phép đầu tư hiện phân cấp chủ yếu về địa phương, dẫn đến quản lý lỏng lẻo, thiếu quy hoạch tổng thể, không kiểm soát được công suất và tác động môi trường. Hiệp hội đề nghị Chính phủ thống nhất cơ chế cấp phép, quản lý quota tại cấp trung ương để bảo đảm kiểm soát sản lượng và quy hoạch ngành.</w:t>
            </w:r>
          </w:p>
          <w:p w14:paraId="4FA1E794" w14:textId="4889C2F0" w:rsidR="00FF7642" w:rsidRPr="00DA5C88" w:rsidRDefault="00FF7642" w:rsidP="00FF7642">
            <w:pPr>
              <w:spacing w:line="360" w:lineRule="auto"/>
              <w:jc w:val="both"/>
              <w:rPr>
                <w:rFonts w:ascii="Times New Roman" w:hAnsi="Times New Roman"/>
                <w:sz w:val="26"/>
                <w:szCs w:val="26"/>
                <w:lang w:val="vi-VN"/>
              </w:rPr>
            </w:pPr>
            <w:r w:rsidRPr="00DA5C88">
              <w:rPr>
                <w:rFonts w:ascii="Times New Roman" w:hAnsi="Times New Roman"/>
                <w:sz w:val="26"/>
                <w:szCs w:val="26"/>
                <w:lang w:val="vi-VN"/>
              </w:rPr>
              <w:t xml:space="preserve">Bên cạnh đó, kiến nghị tăng cầu nội địa thông qua đầu tư hạ tầng (nhất là các dự án cao tốc ở phía Nam, tham khảo mô hình cầu cạn của Trung Quốc, Hàn Quốc). Về tài chính </w:t>
            </w:r>
            <w:r>
              <w:rPr>
                <w:rFonts w:ascii="Times New Roman" w:hAnsi="Times New Roman"/>
                <w:sz w:val="26"/>
                <w:szCs w:val="26"/>
                <w:lang w:val="en-US"/>
              </w:rPr>
              <w:t>-</w:t>
            </w:r>
            <w:r w:rsidRPr="00DA5C88">
              <w:rPr>
                <w:rFonts w:ascii="Times New Roman" w:hAnsi="Times New Roman"/>
                <w:sz w:val="26"/>
                <w:szCs w:val="26"/>
                <w:lang w:val="vi-VN"/>
              </w:rPr>
              <w:t xml:space="preserve"> đất đai, đề nghị cho phép thuê đất dài hạn, trả tiền hàng năm thay vì một lần để giảm áp lực vốn đầu tư. Đồng thời, Chính phủ nên đẩy mạnh đàm phán tập thể về nguồn nguyên liệu đầu vào (quặng sắt, than cốc…) nhằm nâng cao sức cạnh tranh của doanh nghiệp trong nước, thay vì để từng doanh nghiệp tự đàm phán riêng lẻ.</w:t>
            </w:r>
          </w:p>
        </w:tc>
      </w:tr>
      <w:tr w:rsidR="00FF7642" w:rsidRPr="00DA5C88" w14:paraId="6DAB8EE0" w14:textId="77777777" w:rsidTr="00FF7642">
        <w:trPr>
          <w:trHeight w:val="831"/>
        </w:trPr>
        <w:tc>
          <w:tcPr>
            <w:tcW w:w="2425" w:type="dxa"/>
            <w:vAlign w:val="center"/>
          </w:tcPr>
          <w:p w14:paraId="7FCCB745" w14:textId="77777777" w:rsidR="00FF7642" w:rsidRPr="00DA5C88" w:rsidRDefault="00FF7642" w:rsidP="00FF7642">
            <w:pPr>
              <w:spacing w:line="360" w:lineRule="auto"/>
              <w:ind w:left="-109"/>
              <w:jc w:val="center"/>
              <w:rPr>
                <w:rFonts w:ascii="Times New Roman" w:hAnsi="Times New Roman"/>
                <w:sz w:val="26"/>
                <w:szCs w:val="26"/>
                <w:lang w:val="vi-VN"/>
              </w:rPr>
            </w:pPr>
            <w:r w:rsidRPr="00DA5C88">
              <w:rPr>
                <w:rFonts w:ascii="Times New Roman" w:hAnsi="Times New Roman"/>
                <w:sz w:val="26"/>
                <w:szCs w:val="26"/>
                <w:lang w:val="vi-VN"/>
              </w:rPr>
              <w:t>Hiệp hội Doanh nghiệp Dịch vụ Logistics Việt Nam (VLA)</w:t>
            </w:r>
          </w:p>
        </w:tc>
        <w:tc>
          <w:tcPr>
            <w:tcW w:w="6926" w:type="dxa"/>
            <w:vAlign w:val="center"/>
          </w:tcPr>
          <w:p w14:paraId="6B9FD497" w14:textId="77777777" w:rsidR="00FF7642" w:rsidRPr="00DA5C88" w:rsidRDefault="00FF7642" w:rsidP="00FF7642">
            <w:pPr>
              <w:spacing w:line="360" w:lineRule="auto"/>
              <w:jc w:val="both"/>
              <w:rPr>
                <w:rFonts w:ascii="Times New Roman" w:hAnsi="Times New Roman"/>
                <w:sz w:val="26"/>
                <w:szCs w:val="26"/>
                <w:lang w:val="vi-VN"/>
              </w:rPr>
            </w:pPr>
            <w:r w:rsidRPr="00DA5C88">
              <w:rPr>
                <w:rFonts w:ascii="Times New Roman" w:hAnsi="Times New Roman"/>
                <w:sz w:val="26"/>
                <w:szCs w:val="26"/>
                <w:lang w:val="vi-VN"/>
              </w:rPr>
              <w:t xml:space="preserve">Cần đẩy mạnh tinh thần của  Nghị quyết, chứ thực tế vẫn rất thách thức. Doanh nghiệp gặp khó khăn lớn về thuế do cơ quan thuế chậm khấu trừ, gây áp lực tài chính, nhất là với doanh nghiệp nhỏ và vừa. Về khâu thủ tục hải quan, hệ thống phần mềm hải quan đã lỗi thời, có nguy cơ sập, ảnh hưởng trực tiếp đến hoạt động </w:t>
            </w:r>
            <w:r w:rsidRPr="00DA5C88">
              <w:rPr>
                <w:rFonts w:ascii="Times New Roman" w:hAnsi="Times New Roman"/>
                <w:sz w:val="26"/>
                <w:szCs w:val="26"/>
                <w:lang w:val="vi-VN"/>
              </w:rPr>
              <w:lastRenderedPageBreak/>
              <w:t>xuất nhập khẩu. Kiến nghị Chính phủ chỉ đạo khẩn trương nâng cấp hạ tầng kỹ thuật để bảo đảm thông quan ổn định.</w:t>
            </w:r>
          </w:p>
        </w:tc>
      </w:tr>
      <w:tr w:rsidR="00FF7642" w:rsidRPr="00DA5C88" w14:paraId="70E4BAA2" w14:textId="77777777" w:rsidTr="00AA0E4A">
        <w:trPr>
          <w:trHeight w:val="1022"/>
        </w:trPr>
        <w:tc>
          <w:tcPr>
            <w:tcW w:w="2425" w:type="dxa"/>
            <w:vAlign w:val="center"/>
          </w:tcPr>
          <w:p w14:paraId="69952879" w14:textId="672ED26C" w:rsidR="00FF7642" w:rsidRPr="00DA5C88" w:rsidRDefault="00FF7642" w:rsidP="00FF7642">
            <w:pPr>
              <w:spacing w:line="360" w:lineRule="auto"/>
              <w:ind w:left="-109"/>
              <w:jc w:val="center"/>
              <w:rPr>
                <w:rFonts w:ascii="Times New Roman" w:hAnsi="Times New Roman"/>
                <w:sz w:val="26"/>
                <w:szCs w:val="26"/>
                <w:lang w:val="vi-VN"/>
              </w:rPr>
            </w:pPr>
            <w:r w:rsidRPr="00DA5C88">
              <w:rPr>
                <w:rFonts w:ascii="Times New Roman" w:hAnsi="Times New Roman"/>
                <w:sz w:val="26"/>
                <w:szCs w:val="26"/>
                <w:lang w:val="vi-VN"/>
              </w:rPr>
              <w:lastRenderedPageBreak/>
              <w:t xml:space="preserve">Hiệp hội Ô tô </w:t>
            </w:r>
            <w:r>
              <w:rPr>
                <w:rFonts w:ascii="Times New Roman" w:hAnsi="Times New Roman"/>
                <w:sz w:val="26"/>
                <w:szCs w:val="26"/>
                <w:lang w:val="en-US"/>
              </w:rPr>
              <w:t>-</w:t>
            </w:r>
            <w:r w:rsidRPr="00DA5C88">
              <w:rPr>
                <w:rFonts w:ascii="Times New Roman" w:hAnsi="Times New Roman"/>
                <w:sz w:val="26"/>
                <w:szCs w:val="26"/>
                <w:lang w:val="vi-VN"/>
              </w:rPr>
              <w:t xml:space="preserve"> Vận tải Việt Nam (VATA)</w:t>
            </w:r>
          </w:p>
        </w:tc>
        <w:tc>
          <w:tcPr>
            <w:tcW w:w="6926" w:type="dxa"/>
            <w:vAlign w:val="center"/>
          </w:tcPr>
          <w:p w14:paraId="1A3EA8F7" w14:textId="576B140C" w:rsidR="00FF7642" w:rsidRPr="00DA5C88" w:rsidRDefault="00FF7642" w:rsidP="00FF7642">
            <w:pPr>
              <w:spacing w:line="360" w:lineRule="auto"/>
              <w:jc w:val="both"/>
              <w:rPr>
                <w:rFonts w:ascii="Times New Roman" w:hAnsi="Times New Roman"/>
                <w:sz w:val="26"/>
                <w:szCs w:val="26"/>
                <w:lang w:val="vi-VN"/>
              </w:rPr>
            </w:pPr>
            <w:r w:rsidRPr="00DA5C88">
              <w:rPr>
                <w:rFonts w:ascii="Times New Roman" w:hAnsi="Times New Roman"/>
                <w:sz w:val="26"/>
                <w:szCs w:val="26"/>
                <w:lang w:val="vi-VN"/>
              </w:rPr>
              <w:t>Từ 01/01/2025, Luật Trật tự, an toàn giao thông đường bộ phát sinh nhiều bất cập, tăng chi phí doanh nghiệp và ảnh hưởng hoạt động vận tải. Hiệp hội kiến nghị</w:t>
            </w:r>
            <w:r>
              <w:rPr>
                <w:rFonts w:ascii="Times New Roman" w:hAnsi="Times New Roman"/>
                <w:sz w:val="26"/>
                <w:szCs w:val="26"/>
                <w:lang w:val="en-US"/>
              </w:rPr>
              <w:t xml:space="preserve"> cải cách theo tinh thần tạo thuận lợi của Nghị quyết 68 ở các vấn đề cụ thể</w:t>
            </w:r>
            <w:r w:rsidRPr="00DA5C88">
              <w:rPr>
                <w:rFonts w:ascii="Times New Roman" w:hAnsi="Times New Roman"/>
                <w:sz w:val="26"/>
                <w:szCs w:val="26"/>
                <w:lang w:val="vi-VN"/>
              </w:rPr>
              <w:t>: (1) Nâng tuổi tối đa lái xe chở người trên 29 chỗ/giường nằm theo Bộ luật Lao động (62 tuổi nam, 57 tuổi nữ) và tăng tần suất khám sức khỏe với nhóm trên 60 tuổi; (2) Nới thời gian khôi phục điểm giấy phép lái xe, rút ngắn thời gian dự kiểm tra khi bị trừ hết điểm; (3) Cho phép người có giấy phép hạng cao lái hạng thấp; mở chuyển hạng sang CE để giải quyết thiếu lái xe đầu kéo ; (4) Chỉ bắt buộc thiết bị ghi hình với xe lớn (xe khách từ 8 chỗ, đầu kéo, xe tải trên 7.5000 kg, cứu thương, cứu hộ, vận tải nội bộ), giảm áp lực chi phí với xe nhỏ ; (5) Bồi dưỡng pháp luật (32 giờ) và cấp giấy chứng nhận thay vì đào tạo với người điều khiển máy chuyên dùng; (6) Cho phép đổi đăng ký xe linh hoạt khi đổi biển số; (7) Vận chuyển siêu trường, siêu trọng: cho phép lắp thiết bị chuyên dùng theo hướng dẫn nhà sản xuất; cho phép tổ hợp nhiều xe (kéo/đẩy, kể cả ghép qua hàng); (8) Chỉ yêu cầu khảo sát đường khi vượt khổ giới hạn; (9) Sửa Nghị định 158/2024 và 165/2024  để xe 4 bánh nhỏ tiếp tục hoạt động, bỏ yêu cầu biển tốc độ 30 km/h; (10) Điều chỉnh quy định đào tạo lái xe phù hợp thực tế sân tập và giáo viên. Hiệp hội cảnh báo nếu không sửa đổi, chi phí logistics sẽ tiếp tục cao, ảnh hưởng sức cạnh tranh.</w:t>
            </w:r>
          </w:p>
        </w:tc>
      </w:tr>
      <w:tr w:rsidR="00FF7642" w:rsidRPr="00DA5C88" w14:paraId="0B892324" w14:textId="77777777" w:rsidTr="00AA0E4A">
        <w:tc>
          <w:tcPr>
            <w:tcW w:w="2425" w:type="dxa"/>
            <w:vAlign w:val="center"/>
          </w:tcPr>
          <w:p w14:paraId="11D8CDD1" w14:textId="77777777" w:rsidR="00FF7642" w:rsidRPr="00DA5C88" w:rsidRDefault="00FF7642" w:rsidP="00FF7642">
            <w:pPr>
              <w:spacing w:line="360" w:lineRule="auto"/>
              <w:ind w:left="-109"/>
              <w:jc w:val="center"/>
              <w:rPr>
                <w:rFonts w:ascii="Times New Roman" w:hAnsi="Times New Roman"/>
                <w:sz w:val="26"/>
                <w:szCs w:val="26"/>
                <w:lang w:val="vi-VN"/>
              </w:rPr>
            </w:pPr>
            <w:r w:rsidRPr="00DA5C88">
              <w:rPr>
                <w:rFonts w:ascii="Times New Roman" w:hAnsi="Times New Roman"/>
                <w:sz w:val="26"/>
                <w:szCs w:val="26"/>
                <w:lang w:val="vi-VN"/>
              </w:rPr>
              <w:t>Hiệp hội Đại lý, Môi giới và Dịch vụ Hàng hải Việt Nam (VISABA)</w:t>
            </w:r>
          </w:p>
        </w:tc>
        <w:tc>
          <w:tcPr>
            <w:tcW w:w="6926" w:type="dxa"/>
            <w:vAlign w:val="center"/>
          </w:tcPr>
          <w:p w14:paraId="455C933B" w14:textId="77777777" w:rsidR="00FF7642" w:rsidRPr="00DA5C88" w:rsidRDefault="00FF7642" w:rsidP="00FF7642">
            <w:pPr>
              <w:spacing w:line="360" w:lineRule="auto"/>
              <w:jc w:val="both"/>
              <w:rPr>
                <w:rFonts w:ascii="Times New Roman" w:hAnsi="Times New Roman"/>
                <w:sz w:val="26"/>
                <w:szCs w:val="26"/>
                <w:lang w:val="vi-VN"/>
              </w:rPr>
            </w:pPr>
            <w:r w:rsidRPr="00DA5C88">
              <w:rPr>
                <w:rFonts w:ascii="Times New Roman" w:hAnsi="Times New Roman"/>
                <w:sz w:val="26"/>
                <w:szCs w:val="26"/>
                <w:lang w:val="vi-VN"/>
              </w:rPr>
              <w:t>Chính sách và nghị quyết chưa thực sự đi vào thực tế, thủ tục hành chính còn phức tạp. Chính sách mới chủ yếu dừng ở mức định hướng, thiếu cơ chế thực thi rõ ràng, khiến doanh nghiệp chưa cảm nhận được thay đổi thực chất.</w:t>
            </w:r>
          </w:p>
        </w:tc>
      </w:tr>
    </w:tbl>
    <w:p w14:paraId="15FADC89" w14:textId="77777777" w:rsidR="00FD1EFB" w:rsidRPr="00DA5C88" w:rsidRDefault="00FD1EFB" w:rsidP="00FD1EFB">
      <w:pPr>
        <w:widowControl w:val="0"/>
        <w:spacing w:after="80" w:line="360" w:lineRule="auto"/>
        <w:jc w:val="both"/>
        <w:rPr>
          <w:rFonts w:ascii="Times New Roman" w:eastAsia="Times New Roman" w:hAnsi="Times New Roman" w:cs="Times New Roman"/>
          <w:sz w:val="26"/>
          <w:szCs w:val="26"/>
          <w:lang w:val="vi-VN"/>
        </w:rPr>
      </w:pPr>
    </w:p>
    <w:sectPr w:rsidR="00FD1EFB" w:rsidRPr="00DA5C88" w:rsidSect="005806DB">
      <w:pgSz w:w="11909" w:h="16834" w:code="9"/>
      <w:pgMar w:top="1134"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9F7EC" w14:textId="77777777" w:rsidR="0043642A" w:rsidRDefault="0043642A">
      <w:pPr>
        <w:spacing w:line="240" w:lineRule="auto"/>
      </w:pPr>
      <w:r>
        <w:separator/>
      </w:r>
    </w:p>
  </w:endnote>
  <w:endnote w:type="continuationSeparator" w:id="0">
    <w:p w14:paraId="1887E98C" w14:textId="77777777" w:rsidR="0043642A" w:rsidRDefault="004364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21DE" w14:textId="77777777" w:rsidR="00F50420" w:rsidRDefault="00593BB1">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97779D">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F8D0" w14:textId="77777777" w:rsidR="0043642A" w:rsidRDefault="0043642A">
      <w:pPr>
        <w:spacing w:line="240" w:lineRule="auto"/>
      </w:pPr>
      <w:r>
        <w:separator/>
      </w:r>
    </w:p>
  </w:footnote>
  <w:footnote w:type="continuationSeparator" w:id="0">
    <w:p w14:paraId="4BBCB8B5" w14:textId="77777777" w:rsidR="0043642A" w:rsidRDefault="004364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30A7" w14:textId="77777777" w:rsidR="00F50420" w:rsidRDefault="00F504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F7E"/>
    <w:multiLevelType w:val="multilevel"/>
    <w:tmpl w:val="12EC24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31B4A0D"/>
    <w:multiLevelType w:val="multilevel"/>
    <w:tmpl w:val="2916A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391092"/>
    <w:multiLevelType w:val="multilevel"/>
    <w:tmpl w:val="BEFA273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9D2A18"/>
    <w:multiLevelType w:val="multilevel"/>
    <w:tmpl w:val="21A88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603CD2"/>
    <w:multiLevelType w:val="multilevel"/>
    <w:tmpl w:val="2544EB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8BE2B28"/>
    <w:multiLevelType w:val="multilevel"/>
    <w:tmpl w:val="AB485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6C33DF"/>
    <w:multiLevelType w:val="multilevel"/>
    <w:tmpl w:val="702A9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486CA8"/>
    <w:multiLevelType w:val="multilevel"/>
    <w:tmpl w:val="816C94C8"/>
    <w:lvl w:ilvl="0">
      <w:start w:val="1"/>
      <w:numFmt w:val="decimal"/>
      <w:lvlText w:val="%1."/>
      <w:lvlJc w:val="left"/>
      <w:pPr>
        <w:ind w:left="720" w:hanging="360"/>
      </w:pPr>
      <w:rPr>
        <w:color w:val="000000"/>
        <w:u w:val="none"/>
      </w:rPr>
    </w:lvl>
    <w:lvl w:ilvl="1">
      <w:start w:val="1"/>
      <w:numFmt w:val="decimal"/>
      <w:lvlText w:val="%1.%2."/>
      <w:lvlJc w:val="left"/>
      <w:pPr>
        <w:ind w:left="1080" w:hanging="720"/>
      </w:pPr>
      <w:rPr>
        <w:u w:val="none"/>
      </w:rPr>
    </w:lvl>
    <w:lvl w:ilvl="2">
      <w:start w:val="1"/>
      <w:numFmt w:val="decimalZero"/>
      <w:lvlText w:val="%1.%2.%3."/>
      <w:lvlJc w:val="left"/>
      <w:pPr>
        <w:ind w:left="1080" w:hanging="720"/>
      </w:pPr>
      <w:rPr>
        <w:u w:val="none"/>
      </w:rPr>
    </w:lvl>
    <w:lvl w:ilvl="3">
      <w:start w:val="1"/>
      <w:numFmt w:val="decimal"/>
      <w:lvlText w:val="%1.%2.%3.%4."/>
      <w:lvlJc w:val="left"/>
      <w:pPr>
        <w:ind w:left="1440" w:hanging="1080"/>
      </w:pPr>
      <w:rPr>
        <w:u w:val="none"/>
      </w:rPr>
    </w:lvl>
    <w:lvl w:ilvl="4">
      <w:start w:val="1"/>
      <w:numFmt w:val="decimal"/>
      <w:lvlText w:val="%1.%2.%3.%4.%5."/>
      <w:lvlJc w:val="left"/>
      <w:pPr>
        <w:ind w:left="1440" w:hanging="1080"/>
      </w:pPr>
      <w:rPr>
        <w:u w:val="none"/>
      </w:rPr>
    </w:lvl>
    <w:lvl w:ilvl="5">
      <w:start w:val="1"/>
      <w:numFmt w:val="decimal"/>
      <w:lvlText w:val="%1.%2.%3.%4.%5.%6."/>
      <w:lvlJc w:val="left"/>
      <w:pPr>
        <w:ind w:left="1800" w:hanging="1440"/>
      </w:pPr>
      <w:rPr>
        <w:u w:val="none"/>
      </w:rPr>
    </w:lvl>
    <w:lvl w:ilvl="6">
      <w:start w:val="1"/>
      <w:numFmt w:val="decimal"/>
      <w:lvlText w:val="%1.%2.%3.%4.%5.%6.%7."/>
      <w:lvlJc w:val="left"/>
      <w:pPr>
        <w:ind w:left="1800" w:hanging="1440"/>
      </w:pPr>
      <w:rPr>
        <w:u w:val="none"/>
      </w:rPr>
    </w:lvl>
    <w:lvl w:ilvl="7">
      <w:start w:val="1"/>
      <w:numFmt w:val="decimal"/>
      <w:lvlText w:val="%1.%2.%3.%4.%5.%6.%7.%8."/>
      <w:lvlJc w:val="left"/>
      <w:pPr>
        <w:ind w:left="2160" w:hanging="1800"/>
      </w:pPr>
      <w:rPr>
        <w:u w:val="none"/>
      </w:rPr>
    </w:lvl>
    <w:lvl w:ilvl="8">
      <w:start w:val="1"/>
      <w:numFmt w:val="decimal"/>
      <w:lvlText w:val="%1.%2.%3.%4.%5.%6.%7.%8.%9."/>
      <w:lvlJc w:val="left"/>
      <w:pPr>
        <w:ind w:left="2160" w:hanging="1800"/>
      </w:pPr>
      <w:rPr>
        <w:u w:val="none"/>
      </w:rPr>
    </w:lvl>
  </w:abstractNum>
  <w:abstractNum w:abstractNumId="8" w15:restartNumberingAfterBreak="0">
    <w:nsid w:val="3E0C2520"/>
    <w:multiLevelType w:val="hybridMultilevel"/>
    <w:tmpl w:val="5154976A"/>
    <w:lvl w:ilvl="0" w:tplc="7944AFF8">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9" w15:restartNumberingAfterBreak="0">
    <w:nsid w:val="41EF3868"/>
    <w:multiLevelType w:val="multilevel"/>
    <w:tmpl w:val="5A0C19F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D484B92"/>
    <w:multiLevelType w:val="multilevel"/>
    <w:tmpl w:val="B448D0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DFD0BE0"/>
    <w:multiLevelType w:val="multilevel"/>
    <w:tmpl w:val="8AD0D3B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209849372">
    <w:abstractNumId w:val="10"/>
  </w:num>
  <w:num w:numId="2" w16cid:durableId="773980368">
    <w:abstractNumId w:val="2"/>
  </w:num>
  <w:num w:numId="3" w16cid:durableId="9725820">
    <w:abstractNumId w:val="0"/>
  </w:num>
  <w:num w:numId="4" w16cid:durableId="967006751">
    <w:abstractNumId w:val="5"/>
  </w:num>
  <w:num w:numId="5" w16cid:durableId="1987079768">
    <w:abstractNumId w:val="3"/>
  </w:num>
  <w:num w:numId="6" w16cid:durableId="1147942286">
    <w:abstractNumId w:val="1"/>
  </w:num>
  <w:num w:numId="7" w16cid:durableId="703481929">
    <w:abstractNumId w:val="11"/>
  </w:num>
  <w:num w:numId="8" w16cid:durableId="1094741196">
    <w:abstractNumId w:val="6"/>
  </w:num>
  <w:num w:numId="9" w16cid:durableId="1761095130">
    <w:abstractNumId w:val="7"/>
  </w:num>
  <w:num w:numId="10" w16cid:durableId="1995327525">
    <w:abstractNumId w:val="4"/>
  </w:num>
  <w:num w:numId="11" w16cid:durableId="755906024">
    <w:abstractNumId w:val="9"/>
  </w:num>
  <w:num w:numId="12" w16cid:durableId="455758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420"/>
    <w:rsid w:val="00011DE6"/>
    <w:rsid w:val="00017498"/>
    <w:rsid w:val="00023E27"/>
    <w:rsid w:val="00037663"/>
    <w:rsid w:val="000600E9"/>
    <w:rsid w:val="00082C37"/>
    <w:rsid w:val="000949E9"/>
    <w:rsid w:val="00097697"/>
    <w:rsid w:val="000A3377"/>
    <w:rsid w:val="000B3640"/>
    <w:rsid w:val="000B7100"/>
    <w:rsid w:val="000D692B"/>
    <w:rsid w:val="000F107F"/>
    <w:rsid w:val="00131F36"/>
    <w:rsid w:val="00140FF8"/>
    <w:rsid w:val="001513ED"/>
    <w:rsid w:val="00187B3C"/>
    <w:rsid w:val="00190D79"/>
    <w:rsid w:val="001B046A"/>
    <w:rsid w:val="001B40FC"/>
    <w:rsid w:val="001B4980"/>
    <w:rsid w:val="001D4C7E"/>
    <w:rsid w:val="001D4E45"/>
    <w:rsid w:val="001E1F88"/>
    <w:rsid w:val="001E3DD8"/>
    <w:rsid w:val="001E6E2A"/>
    <w:rsid w:val="002024E0"/>
    <w:rsid w:val="00281416"/>
    <w:rsid w:val="00301B82"/>
    <w:rsid w:val="00316E10"/>
    <w:rsid w:val="00347170"/>
    <w:rsid w:val="003B22DB"/>
    <w:rsid w:val="003C1F0E"/>
    <w:rsid w:val="003D284D"/>
    <w:rsid w:val="003E0746"/>
    <w:rsid w:val="003E6695"/>
    <w:rsid w:val="003F2794"/>
    <w:rsid w:val="003F6AAD"/>
    <w:rsid w:val="00400686"/>
    <w:rsid w:val="004054A0"/>
    <w:rsid w:val="00405DD0"/>
    <w:rsid w:val="00411010"/>
    <w:rsid w:val="004172CC"/>
    <w:rsid w:val="004217C0"/>
    <w:rsid w:val="0042324D"/>
    <w:rsid w:val="00426D2C"/>
    <w:rsid w:val="0043247A"/>
    <w:rsid w:val="0043642A"/>
    <w:rsid w:val="004500E1"/>
    <w:rsid w:val="004560B6"/>
    <w:rsid w:val="00466229"/>
    <w:rsid w:val="00471741"/>
    <w:rsid w:val="004A471A"/>
    <w:rsid w:val="004A6873"/>
    <w:rsid w:val="004B3007"/>
    <w:rsid w:val="004C0B1D"/>
    <w:rsid w:val="004C5D84"/>
    <w:rsid w:val="004E0447"/>
    <w:rsid w:val="004E660F"/>
    <w:rsid w:val="004F5C18"/>
    <w:rsid w:val="004F5CE4"/>
    <w:rsid w:val="00523005"/>
    <w:rsid w:val="00523192"/>
    <w:rsid w:val="00532034"/>
    <w:rsid w:val="00561223"/>
    <w:rsid w:val="005651E5"/>
    <w:rsid w:val="00570505"/>
    <w:rsid w:val="005806DB"/>
    <w:rsid w:val="0058575B"/>
    <w:rsid w:val="00593BB1"/>
    <w:rsid w:val="005B474B"/>
    <w:rsid w:val="005C62F5"/>
    <w:rsid w:val="005E53F9"/>
    <w:rsid w:val="00617F15"/>
    <w:rsid w:val="00665F0C"/>
    <w:rsid w:val="006A74A6"/>
    <w:rsid w:val="006C3AC2"/>
    <w:rsid w:val="006E0D64"/>
    <w:rsid w:val="006E4C4B"/>
    <w:rsid w:val="006F3486"/>
    <w:rsid w:val="006F4868"/>
    <w:rsid w:val="00702D31"/>
    <w:rsid w:val="0070531B"/>
    <w:rsid w:val="0071723D"/>
    <w:rsid w:val="0072016C"/>
    <w:rsid w:val="00753CE3"/>
    <w:rsid w:val="00762300"/>
    <w:rsid w:val="00763569"/>
    <w:rsid w:val="007B0D0C"/>
    <w:rsid w:val="007C5678"/>
    <w:rsid w:val="007C7E4B"/>
    <w:rsid w:val="007D161C"/>
    <w:rsid w:val="007D6FBB"/>
    <w:rsid w:val="007F015D"/>
    <w:rsid w:val="00801F0E"/>
    <w:rsid w:val="008037D8"/>
    <w:rsid w:val="008208E1"/>
    <w:rsid w:val="00825986"/>
    <w:rsid w:val="00847C8C"/>
    <w:rsid w:val="0086698E"/>
    <w:rsid w:val="008758FE"/>
    <w:rsid w:val="00877A2F"/>
    <w:rsid w:val="008800A7"/>
    <w:rsid w:val="00890D38"/>
    <w:rsid w:val="00892C52"/>
    <w:rsid w:val="008A2534"/>
    <w:rsid w:val="008C132F"/>
    <w:rsid w:val="008E20D3"/>
    <w:rsid w:val="008E3EF5"/>
    <w:rsid w:val="008F79C3"/>
    <w:rsid w:val="00904A24"/>
    <w:rsid w:val="00904CAA"/>
    <w:rsid w:val="00924D75"/>
    <w:rsid w:val="00943824"/>
    <w:rsid w:val="0095104A"/>
    <w:rsid w:val="00972F1F"/>
    <w:rsid w:val="0097779D"/>
    <w:rsid w:val="00987B49"/>
    <w:rsid w:val="009A5ED6"/>
    <w:rsid w:val="009D3C1F"/>
    <w:rsid w:val="00A02973"/>
    <w:rsid w:val="00A06D90"/>
    <w:rsid w:val="00A20203"/>
    <w:rsid w:val="00A22F8D"/>
    <w:rsid w:val="00A247F4"/>
    <w:rsid w:val="00A31FF9"/>
    <w:rsid w:val="00A766F3"/>
    <w:rsid w:val="00A91BF3"/>
    <w:rsid w:val="00AA0E4A"/>
    <w:rsid w:val="00AA3F4D"/>
    <w:rsid w:val="00AB3B4E"/>
    <w:rsid w:val="00AC4B88"/>
    <w:rsid w:val="00AC57FB"/>
    <w:rsid w:val="00AC5FD6"/>
    <w:rsid w:val="00AE06E1"/>
    <w:rsid w:val="00AE2741"/>
    <w:rsid w:val="00AF7D16"/>
    <w:rsid w:val="00B05B80"/>
    <w:rsid w:val="00B07BD4"/>
    <w:rsid w:val="00B13264"/>
    <w:rsid w:val="00B13A7C"/>
    <w:rsid w:val="00B156CC"/>
    <w:rsid w:val="00B169B8"/>
    <w:rsid w:val="00B25625"/>
    <w:rsid w:val="00B817BE"/>
    <w:rsid w:val="00B85928"/>
    <w:rsid w:val="00B92C82"/>
    <w:rsid w:val="00BB537F"/>
    <w:rsid w:val="00BC10F1"/>
    <w:rsid w:val="00BC75DA"/>
    <w:rsid w:val="00C67327"/>
    <w:rsid w:val="00CB5196"/>
    <w:rsid w:val="00CC3E6E"/>
    <w:rsid w:val="00CD22D5"/>
    <w:rsid w:val="00CD387F"/>
    <w:rsid w:val="00CE404C"/>
    <w:rsid w:val="00D24936"/>
    <w:rsid w:val="00D471F4"/>
    <w:rsid w:val="00D51D12"/>
    <w:rsid w:val="00D626B2"/>
    <w:rsid w:val="00D86C48"/>
    <w:rsid w:val="00DA5C88"/>
    <w:rsid w:val="00DC2ACD"/>
    <w:rsid w:val="00DE7741"/>
    <w:rsid w:val="00E32600"/>
    <w:rsid w:val="00E57EE5"/>
    <w:rsid w:val="00E65E4C"/>
    <w:rsid w:val="00E775B8"/>
    <w:rsid w:val="00E81B7B"/>
    <w:rsid w:val="00EB09FF"/>
    <w:rsid w:val="00EB20B6"/>
    <w:rsid w:val="00EC7260"/>
    <w:rsid w:val="00F00A45"/>
    <w:rsid w:val="00F14CC0"/>
    <w:rsid w:val="00F2650F"/>
    <w:rsid w:val="00F27AAF"/>
    <w:rsid w:val="00F377D1"/>
    <w:rsid w:val="00F44857"/>
    <w:rsid w:val="00F50420"/>
    <w:rsid w:val="00F50E6B"/>
    <w:rsid w:val="00F60B4C"/>
    <w:rsid w:val="00F802E9"/>
    <w:rsid w:val="00F975E4"/>
    <w:rsid w:val="00FC3218"/>
    <w:rsid w:val="00FD1EFB"/>
    <w:rsid w:val="00FE449B"/>
    <w:rsid w:val="00FF3964"/>
    <w:rsid w:val="00FF7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6896"/>
  <w15:docId w15:val="{D42CBC06-8A6B-4DF7-AADB-4BEA85A2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line="240" w:lineRule="auto"/>
    </w:pPr>
    <w:tblPr>
      <w:tblStyleRowBandSize w:val="1"/>
      <w:tblStyleColBandSize w:val="1"/>
      <w:tblCellMar>
        <w:top w:w="0" w:type="dxa"/>
        <w:left w:w="108" w:type="dxa"/>
        <w:bottom w:w="0" w:type="dxa"/>
        <w:right w:w="108" w:type="dxa"/>
      </w:tblCellMar>
    </w:tblPr>
  </w:style>
  <w:style w:type="character" w:customStyle="1" w:styleId="fontstyle01">
    <w:name w:val="fontstyle01"/>
    <w:basedOn w:val="DefaultParagraphFont"/>
    <w:rsid w:val="0097779D"/>
    <w:rPr>
      <w:rFonts w:ascii="TimesNewRomanPSMT" w:hAnsi="TimesNewRomanPSMT" w:hint="default"/>
      <w:b w:val="0"/>
      <w:bCs w:val="0"/>
      <w:i w:val="0"/>
      <w:iCs w:val="0"/>
      <w:color w:val="000000"/>
      <w:sz w:val="26"/>
      <w:szCs w:val="26"/>
    </w:rPr>
  </w:style>
  <w:style w:type="table" w:styleId="TableGrid">
    <w:name w:val="Table Grid"/>
    <w:basedOn w:val="TableNormal"/>
    <w:uiPriority w:val="39"/>
    <w:rsid w:val="00DC2ACD"/>
    <w:pPr>
      <w:spacing w:line="240" w:lineRule="auto"/>
    </w:pPr>
    <w:rPr>
      <w:rFonts w:eastAsia="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C48"/>
    <w:pPr>
      <w:ind w:left="720"/>
      <w:contextualSpacing/>
    </w:pPr>
  </w:style>
  <w:style w:type="paragraph" w:styleId="Revision">
    <w:name w:val="Revision"/>
    <w:hidden/>
    <w:uiPriority w:val="99"/>
    <w:semiHidden/>
    <w:rsid w:val="00561223"/>
    <w:pPr>
      <w:spacing w:line="240" w:lineRule="auto"/>
    </w:pPr>
  </w:style>
  <w:style w:type="character" w:styleId="CommentReference">
    <w:name w:val="annotation reference"/>
    <w:basedOn w:val="DefaultParagraphFont"/>
    <w:uiPriority w:val="99"/>
    <w:semiHidden/>
    <w:unhideWhenUsed/>
    <w:rsid w:val="00EC7260"/>
    <w:rPr>
      <w:sz w:val="16"/>
      <w:szCs w:val="16"/>
    </w:rPr>
  </w:style>
  <w:style w:type="paragraph" w:styleId="CommentText">
    <w:name w:val="annotation text"/>
    <w:basedOn w:val="Normal"/>
    <w:link w:val="CommentTextChar"/>
    <w:uiPriority w:val="99"/>
    <w:unhideWhenUsed/>
    <w:rsid w:val="00EC7260"/>
    <w:pPr>
      <w:spacing w:line="240" w:lineRule="auto"/>
    </w:pPr>
    <w:rPr>
      <w:sz w:val="20"/>
      <w:szCs w:val="20"/>
    </w:rPr>
  </w:style>
  <w:style w:type="character" w:customStyle="1" w:styleId="CommentTextChar">
    <w:name w:val="Comment Text Char"/>
    <w:basedOn w:val="DefaultParagraphFont"/>
    <w:link w:val="CommentText"/>
    <w:uiPriority w:val="99"/>
    <w:rsid w:val="00EC7260"/>
    <w:rPr>
      <w:sz w:val="20"/>
      <w:szCs w:val="20"/>
    </w:rPr>
  </w:style>
  <w:style w:type="paragraph" w:styleId="CommentSubject">
    <w:name w:val="annotation subject"/>
    <w:basedOn w:val="CommentText"/>
    <w:next w:val="CommentText"/>
    <w:link w:val="CommentSubjectChar"/>
    <w:uiPriority w:val="99"/>
    <w:semiHidden/>
    <w:unhideWhenUsed/>
    <w:rsid w:val="00EC7260"/>
    <w:rPr>
      <w:b/>
      <w:bCs/>
    </w:rPr>
  </w:style>
  <w:style w:type="character" w:customStyle="1" w:styleId="CommentSubjectChar">
    <w:name w:val="Comment Subject Char"/>
    <w:basedOn w:val="CommentTextChar"/>
    <w:link w:val="CommentSubject"/>
    <w:uiPriority w:val="99"/>
    <w:semiHidden/>
    <w:rsid w:val="00EC7260"/>
    <w:rPr>
      <w:b/>
      <w:bCs/>
      <w:sz w:val="20"/>
      <w:szCs w:val="20"/>
    </w:rPr>
  </w:style>
  <w:style w:type="paragraph" w:styleId="FootnoteText">
    <w:name w:val="footnote text"/>
    <w:basedOn w:val="Normal"/>
    <w:link w:val="FootnoteTextChar"/>
    <w:uiPriority w:val="99"/>
    <w:semiHidden/>
    <w:unhideWhenUsed/>
    <w:rsid w:val="00FD1EFB"/>
    <w:pPr>
      <w:spacing w:line="240" w:lineRule="auto"/>
    </w:pPr>
    <w:rPr>
      <w:sz w:val="20"/>
      <w:szCs w:val="20"/>
    </w:rPr>
  </w:style>
  <w:style w:type="character" w:customStyle="1" w:styleId="FootnoteTextChar">
    <w:name w:val="Footnote Text Char"/>
    <w:basedOn w:val="DefaultParagraphFont"/>
    <w:link w:val="FootnoteText"/>
    <w:uiPriority w:val="99"/>
    <w:semiHidden/>
    <w:rsid w:val="00FD1EFB"/>
    <w:rPr>
      <w:sz w:val="20"/>
      <w:szCs w:val="20"/>
    </w:rPr>
  </w:style>
  <w:style w:type="character" w:styleId="FootnoteReference">
    <w:name w:val="footnote reference"/>
    <w:basedOn w:val="DefaultParagraphFont"/>
    <w:uiPriority w:val="99"/>
    <w:semiHidden/>
    <w:unhideWhenUsed/>
    <w:rsid w:val="00FD1E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2B9EA-F7A4-40D6-AA17-A509A9806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8717</Words>
  <Characters>49690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Nguyễn Thị Ngạn</cp:lastModifiedBy>
  <cp:revision>2</cp:revision>
  <cp:lastPrinted>2025-10-29T11:42:00Z</cp:lastPrinted>
  <dcterms:created xsi:type="dcterms:W3CDTF">2025-10-30T02:23:00Z</dcterms:created>
  <dcterms:modified xsi:type="dcterms:W3CDTF">2025-10-30T02:23:00Z</dcterms:modified>
</cp:coreProperties>
</file>